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spacing w:before="360" w:after="80"/>
        <w:rPr>
          <w:rFonts w:ascii="Noto Serif" w:hAnsi="Noto Serif"/>
        </w:rPr>
      </w:pPr>
      <w:bookmarkStart w:id="0" w:name="X45927b76577f605e136f8a6838070ee872ca322"/>
      <w:r>
        <w:rPr>
          <w:rFonts w:ascii="Noto Serif" w:hAnsi="Noto Serif"/>
        </w:rPr>
        <w:t>Appendix: Heterogeneous Enforcement of Transparency</w:t>
      </w:r>
    </w:p>
    <w:p>
      <w:pPr>
        <w:pStyle w:val="Heading2"/>
        <w:rPr>
          <w:rFonts w:ascii="Noto Serif" w:hAnsi="Noto Serif"/>
        </w:rPr>
      </w:pPr>
      <w:bookmarkStart w:id="1" w:name="Xa9a3597a1fcea1b124c530bd4c5f962a3203a77"/>
      <w:r>
        <w:rPr>
          <w:rFonts w:ascii="Noto Serif" w:hAnsi="Noto Serif"/>
        </w:rPr>
        <w:t>Evidence from the Texas Railroad Commission</w:t>
      </w:r>
    </w:p>
    <w:p>
      <w:pPr>
        <w:pStyle w:val="FirstParagraph"/>
        <w:rPr>
          <w:rFonts w:ascii="Noto Serif" w:hAnsi="Noto Serif"/>
        </w:rPr>
      </w:pPr>
      <w:r>
        <w:rPr>
          <w:rFonts w:ascii="Noto Serif" w:hAnsi="Noto Serif"/>
          <w:b/>
          <w:bCs/>
        </w:rPr>
        <w:t>Appendix A: Data Definitions and Summary Statistics</w:t>
      </w:r>
      <w:r>
        <w:rPr>
          <w:rFonts w:ascii="Noto Serif" w:hAnsi="Noto Serif"/>
        </w:rPr>
        <w:t xml:space="preserve"> </w:t>
        <w:br/>
      </w:r>
      <w:r>
        <w:rPr>
          <w:rFonts w:ascii="Noto Serif" w:hAnsi="Noto Serif"/>
          <w:b/>
          <w:bCs/>
        </w:rPr>
        <w:t>Appendix B: Event Study and Parallel Trends</w:t>
      </w:r>
      <w:r>
        <w:rPr>
          <w:rFonts w:ascii="Noto Serif" w:hAnsi="Noto Serif"/>
        </w:rPr>
        <w:t xml:space="preserve"> </w:t>
        <w:br/>
      </w:r>
      <w:r>
        <w:rPr>
          <w:rFonts w:ascii="Noto Serif" w:hAnsi="Noto Serif"/>
          <w:b/>
          <w:bCs/>
        </w:rPr>
        <w:t>Appendix C: Robustness Checks</w:t>
      </w:r>
      <w:r>
        <w:rPr>
          <w:rFonts w:ascii="Noto Serif" w:hAnsi="Noto Serif"/>
        </w:rPr>
        <w:t xml:space="preserve"> </w:t>
        <w:br/>
      </w:r>
      <w:r>
        <w:rPr>
          <w:rFonts w:ascii="Noto Serif" w:hAnsi="Noto Serif"/>
          <w:b/>
          <w:bCs/>
        </w:rPr>
        <w:t>Appendix D: Spatial Analysis Details</w:t>
      </w:r>
    </w:p>
    <w:p>
      <w:pPr>
        <w:pStyle w:val="Normal"/>
        <w:rPr>
          <w:rFonts w:ascii="Noto Serif" w:hAnsi="Noto Serif"/>
        </w:rPr>
      </w:pPr>
      <w:r>
        <w:rPr>
          <w:rFonts w:ascii="Noto Serif" w:hAnsi="Noto Serif"/>
        </w:rPr>
        <mc:AlternateContent>
          <mc:Choice Requires="wps">
            <w:drawing>
              <wp:inline distT="0" distB="0" distL="0" distR="0">
                <wp:extent cx="5943600" cy="19050"/>
                <wp:effectExtent l="0" t="0" r="0" b="0"/>
                <wp:docPr id="1" name=""/>
                <a:graphic xmlns:a="http://schemas.openxmlformats.org/drawingml/2006/main">
                  <a:graphicData uri="http://schemas.microsoft.com/office/word/2010/wordprocessingShape">
                    <wps:wsp>
                      <wps:cNvSpPr/>
                      <wps:nvSpPr>
                        <wps:cNvPr id="2" name=""/>
                        <wps:cNvSpPr/>
                      </wps:nvSpPr>
                      <wps:spPr>
                        <a:xfrm>
                          <a:off x="0" y="0"/>
                          <a:ext cx="5943600" cy="19080"/>
                        </a:xfrm>
                        <a:prstGeom prst="rect">
                          <a:avLst/>
                        </a:prstGeom>
                        <a:solidFill>
                          <a:srgbClr val="ffffff"/>
                        </a:solidFill>
                        <a:ln w="0">
                          <a:solidFill>
                            <a:srgbClr val="000000"/>
                          </a:solidFill>
                        </a:ln>
                      </wps:spPr>
                      <wps:bodyPr/>
                    </wps:wsp>
                  </a:graphicData>
                </a:graphic>
                <wp14:sizeRelH relativeFrom="page">
                  <wp14:pctWidth>100000</wp14:pctWidth>
                </wp14:sizeRelH>
              </wp:inline>
            </w:drawing>
          </mc:Choice>
          <mc:Fallback>
            <w:pict>
              <v:rect id="shape_0" fillcolor="white" stroked="t" o:allowincell="f" style="position:absolute;margin-left:0pt;margin-top:-1.55pt;width:467.95pt;height:1.45pt;mso-wrap-style:none;v-text-anchor:middle;mso-position-horizontal:center;mso-position-vertical:top">
                <v:fill o:detectmouseclick="t" type="solid" color2="black"/>
                <v:stroke color="black" joinstyle="round" endcap="flat"/>
                <w10:wrap type="topAndBottom"/>
              </v:rect>
            </w:pict>
          </mc:Fallback>
        </mc:AlternateContent>
      </w:r>
    </w:p>
    <w:p>
      <w:pPr>
        <w:pStyle w:val="Heading3"/>
        <w:rPr>
          <w:rFonts w:ascii="Noto Serif" w:hAnsi="Noto Serif"/>
        </w:rPr>
      </w:pPr>
      <w:bookmarkStart w:id="2" w:name="Xe70b87d63ca25ed4b1a35b0fb40d57cc312390c"/>
      <w:r>
        <w:rPr>
          <w:rFonts w:ascii="Noto Serif" w:hAnsi="Noto Serif"/>
        </w:rPr>
        <w:t>Appendix A: Data Definitions and Summary Statistics</w:t>
      </w:r>
    </w:p>
    <w:p>
      <w:pPr>
        <w:pStyle w:val="FirstParagraph"/>
        <w:rPr>
          <w:rFonts w:ascii="Noto Serif" w:hAnsi="Noto Serif"/>
        </w:rPr>
      </w:pPr>
      <w:r>
        <w:rPr>
          <w:rFonts w:ascii="Noto Serif" w:hAnsi="Noto Serif"/>
        </w:rPr>
        <w:t>To account for potential confounders driving enforcement heterogeneity, we constructed district-level aggregates of demographic and geographic variables. Table A1 summarizes the definitions and data sources for key variables used in the moderator analysis (</w:t>
      </w:r>
      <w:r>
        <w:rPr>
          <w:rFonts w:ascii="Noto Serif" w:hAnsi="Noto Serif"/>
        </w:rPr>
      </w:r>
      <m:oMath xmlns:m="http://schemas.openxmlformats.org/officeDocument/2006/math">
        <m:r>
          <w:rPr>
            <w:rFonts w:ascii="Cambria Math" w:hAnsi="Cambria Math"/>
          </w:rPr>
          <m:t xml:space="preserve">H</m:t>
        </m:r>
        <m:r>
          <w:rPr>
            <w:rFonts w:ascii="Cambria Math" w:hAnsi="Cambria Math"/>
          </w:rPr>
          <m:t xml:space="preserve">3</m:t>
        </m:r>
      </m:oMath>
      <w:r>
        <w:rPr>
          <w:rFonts w:ascii="Noto Serif" w:hAnsi="Noto Serif"/>
        </w:rPr>
        <w:t>).</w:t>
      </w:r>
    </w:p>
    <w:p>
      <w:pPr>
        <w:pStyle w:val="BodyText"/>
        <w:rPr>
          <w:rFonts w:ascii="Noto Serif" w:hAnsi="Noto Serif"/>
        </w:rPr>
      </w:pPr>
      <w:r>
        <w:rPr>
          <w:rFonts w:ascii="Noto Serif" w:hAnsi="Noto Serif"/>
          <w:b/>
          <w:bCs/>
        </w:rPr>
        <w:t>Table A1: Variable Definitions</w:t>
      </w:r>
    </w:p>
    <w:tbl>
      <w:tblPr>
        <w:tblStyle w:val="Table"/>
        <w:tblW w:w="5000" w:type="pct"/>
        <w:jc w:val="left"/>
        <w:tblInd w:w="0" w:type="dxa"/>
        <w:tblLayout w:type="fixed"/>
        <w:tblCellMar>
          <w:top w:w="0" w:type="dxa"/>
          <w:left w:w="108" w:type="dxa"/>
          <w:bottom w:w="0" w:type="dxa"/>
          <w:right w:w="108" w:type="dxa"/>
        </w:tblCellMar>
        <w:tblLook w:val="0020" w:noHBand="0" w:noVBand="0" w:firstColumn="0" w:lastRow="0" w:lastColumn="0" w:firstRow="1"/>
      </w:tblPr>
      <w:tblGrid>
        <w:gridCol w:w="3120"/>
        <w:gridCol w:w="3120"/>
        <w:gridCol w:w="3120"/>
      </w:tblGrid>
      <w:tr>
        <w:trPr>
          <w:tblHeader w:val="true"/>
        </w:trPr>
        <w:tc>
          <w:tcPr>
            <w:tcW w:w="3120"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Variable</w:t>
            </w:r>
          </w:p>
        </w:tc>
        <w:tc>
          <w:tcPr>
            <w:tcW w:w="3120"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Definition</w:t>
            </w:r>
          </w:p>
        </w:tc>
        <w:tc>
          <w:tcPr>
            <w:tcW w:w="3120"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Source</w:t>
            </w:r>
          </w:p>
        </w:tc>
      </w:tr>
      <w:tr>
        <w:trPr/>
        <w:tc>
          <w:tcPr>
            <w:tcW w:w="312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b/>
                <w:bCs/>
                <w:kern w:val="0"/>
                <w:sz w:val="24"/>
                <w:szCs w:val="24"/>
                <w:lang w:val="en-US" w:eastAsia="zh-CN" w:bidi="ar-SA"/>
              </w:rPr>
              <w:t>Days to Enforcement</w:t>
            </w:r>
          </w:p>
        </w:tc>
        <w:tc>
          <w:tcPr>
            <w:tcW w:w="3120" w:type="dxa"/>
            <w:tcBorders/>
          </w:tcPr>
          <w:p>
            <w:pPr>
              <w:pStyle w:val="Compact"/>
              <w:widowControl/>
              <w:spacing w:before="36" w:after="36"/>
              <w:jc w:val="left"/>
              <w:rPr>
                <w:rFonts w:ascii="Aptos" w:hAnsi="Aptos" w:eastAsia="" w:cs=""/>
                <w:kern w:val="0"/>
                <w:sz w:val="24"/>
                <w:szCs w:val="24"/>
                <w:lang w:val="en-US" w:eastAsia="zh-CN" w:bidi="ar-SA"/>
              </w:rPr>
            </w:pPr>
            <w:r>
              <w:rPr>
                <w:rFonts w:eastAsia="" w:cs="" w:ascii="Noto Serif" w:hAnsi="Noto Serif"/>
                <w:kern w:val="0"/>
                <w:sz w:val="24"/>
                <w:szCs w:val="24"/>
                <w:lang w:val="en-US" w:eastAsia="zh-CN" w:bidi="ar-SA"/>
              </w:rPr>
              <w:t xml:space="preserve">Number of days between </w:t>
            </w:r>
            <w:r>
              <w:rPr>
                <w:rStyle w:val="VerbatimChar"/>
                <w:rFonts w:eastAsia="" w:cs="" w:ascii="Noto Serif" w:hAnsi="Noto Serif"/>
                <w:kern w:val="0"/>
                <w:szCs w:val="24"/>
                <w:lang w:val="en-US" w:eastAsia="zh-CN" w:bidi="ar-SA"/>
              </w:rPr>
              <w:t>violation_disc_date</w:t>
            </w:r>
            <w:r>
              <w:rPr>
                <w:rFonts w:eastAsia="" w:cs="" w:ascii="Noto Serif" w:hAnsi="Noto Serif"/>
                <w:kern w:val="0"/>
                <w:sz w:val="24"/>
                <w:szCs w:val="24"/>
                <w:lang w:val="en-US" w:eastAsia="zh-CN" w:bidi="ar-SA"/>
              </w:rPr>
              <w:t xml:space="preserve"> and </w:t>
            </w:r>
            <w:r>
              <w:rPr>
                <w:rStyle w:val="VerbatimChar"/>
                <w:rFonts w:eastAsia="" w:cs="" w:ascii="Noto Serif" w:hAnsi="Noto Serif"/>
                <w:kern w:val="0"/>
                <w:szCs w:val="24"/>
                <w:lang w:val="en-US" w:eastAsia="zh-CN" w:bidi="ar-SA"/>
              </w:rPr>
              <w:t>last_enf_action_date</w:t>
            </w:r>
            <w:r>
              <w:rPr>
                <w:rFonts w:eastAsia="" w:cs="" w:ascii="Noto Serif" w:hAnsi="Noto Serif"/>
                <w:kern w:val="0"/>
                <w:sz w:val="24"/>
                <w:szCs w:val="24"/>
                <w:lang w:val="en-US" w:eastAsia="zh-CN" w:bidi="ar-SA"/>
              </w:rPr>
              <w:t>.</w:t>
            </w:r>
          </w:p>
        </w:tc>
        <w:tc>
          <w:tcPr>
            <w:tcW w:w="312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RRC Violation Data</w:t>
            </w:r>
          </w:p>
        </w:tc>
      </w:tr>
      <w:tr>
        <w:trPr/>
        <w:tc>
          <w:tcPr>
            <w:tcW w:w="312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b/>
                <w:bCs/>
                <w:kern w:val="0"/>
                <w:sz w:val="24"/>
                <w:szCs w:val="24"/>
                <w:lang w:val="en-US" w:eastAsia="zh-CN" w:bidi="ar-SA"/>
              </w:rPr>
              <w:t>Compliance Rate</w:t>
            </w:r>
          </w:p>
        </w:tc>
        <w:tc>
          <w:tcPr>
            <w:tcW w:w="312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Percentage of inspections marked “Compliant”.</w:t>
            </w:r>
          </w:p>
        </w:tc>
        <w:tc>
          <w:tcPr>
            <w:tcW w:w="312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RRC Inspection Data</w:t>
            </w:r>
          </w:p>
        </w:tc>
      </w:tr>
      <w:tr>
        <w:trPr/>
        <w:tc>
          <w:tcPr>
            <w:tcW w:w="312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b/>
                <w:bCs/>
                <w:kern w:val="0"/>
                <w:sz w:val="24"/>
                <w:szCs w:val="24"/>
                <w:lang w:val="en-US" w:eastAsia="zh-CN" w:bidi="ar-SA"/>
              </w:rPr>
              <w:t>EJI Score</w:t>
            </w:r>
          </w:p>
        </w:tc>
        <w:tc>
          <w:tcPr>
            <w:tcW w:w="312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b w:val="false"/>
                <w:bCs w:val="false"/>
                <w:kern w:val="0"/>
                <w:sz w:val="24"/>
                <w:szCs w:val="24"/>
                <w:lang w:val="en-US" w:eastAsia="zh-CN" w:bidi="ar-SA"/>
              </w:rPr>
              <w:t xml:space="preserve">Environmental Justice Index: </w:t>
            </w:r>
            <w:r>
              <w:rPr>
                <w:rFonts w:eastAsia="" w:cs="" w:ascii="Noto Serif" w:hAnsi="Noto Serif"/>
                <w:b w:val="false"/>
                <w:bCs w:val="false"/>
                <w:kern w:val="0"/>
                <w:sz w:val="24"/>
                <w:szCs w:val="24"/>
                <w:lang w:val="en-US" w:eastAsia="zh-CN" w:bidi="ar-SA"/>
              </w:rPr>
              <w:t>A</w:t>
            </w:r>
            <w:r>
              <w:rPr>
                <w:rFonts w:eastAsia="" w:cs="" w:ascii="Noto Serif" w:hAnsi="Noto Serif"/>
                <w:kern w:val="0"/>
                <w:sz w:val="24"/>
                <w:szCs w:val="24"/>
                <w:lang w:val="en-US" w:eastAsia="zh-CN" w:bidi="ar-SA"/>
              </w:rPr>
              <w:t xml:space="preserve"> composite social vulnerability score calculated as the mean of percentile-ranked tract-level indicators: minority share, poverty rate, unemployment, linguistic isolation, and education level. Aggregated to district level by averaging scores of tracts containing active wells.</w:t>
            </w:r>
          </w:p>
        </w:tc>
        <w:tc>
          <w:tcPr>
            <w:tcW w:w="312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ACS 2021 (5-yr)</w:t>
            </w:r>
          </w:p>
        </w:tc>
      </w:tr>
      <w:tr>
        <w:trPr/>
        <w:tc>
          <w:tcPr>
            <w:tcW w:w="312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b/>
                <w:bCs/>
                <w:kern w:val="0"/>
                <w:sz w:val="24"/>
                <w:szCs w:val="24"/>
                <w:lang w:val="en-US" w:eastAsia="zh-CN" w:bidi="ar-SA"/>
              </w:rPr>
              <w:t>High Capacity</w:t>
            </w:r>
          </w:p>
        </w:tc>
        <w:tc>
          <w:tcPr>
            <w:tcW w:w="312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Binary indicator = 1 if district total inspections &gt; median.</w:t>
            </w:r>
          </w:p>
        </w:tc>
        <w:tc>
          <w:tcPr>
            <w:tcW w:w="312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RRC Inspection Data</w:t>
            </w:r>
          </w:p>
        </w:tc>
      </w:tr>
      <w:tr>
        <w:trPr/>
        <w:tc>
          <w:tcPr>
            <w:tcW w:w="312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b/>
                <w:bCs/>
                <w:kern w:val="0"/>
                <w:sz w:val="24"/>
                <w:szCs w:val="24"/>
                <w:lang w:val="en-US" w:eastAsia="zh-CN" w:bidi="ar-SA"/>
              </w:rPr>
              <w:t>Rurality (RUCA)</w:t>
            </w:r>
          </w:p>
        </w:tc>
        <w:tc>
          <w:tcPr>
            <w:tcW w:w="312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Average Rural-Urban Commuting Area code (1=Metro, 10=Rural) for wells in the district.</w:t>
            </w:r>
          </w:p>
        </w:tc>
        <w:tc>
          <w:tcPr>
            <w:tcW w:w="312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USDA / ACS 2020</w:t>
            </w:r>
          </w:p>
        </w:tc>
      </w:tr>
      <w:tr>
        <w:trPr/>
        <w:tc>
          <w:tcPr>
            <w:tcW w:w="312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b/>
                <w:bCs/>
                <w:kern w:val="0"/>
                <w:sz w:val="24"/>
                <w:szCs w:val="24"/>
                <w:lang w:val="en-US" w:eastAsia="zh-CN" w:bidi="ar-SA"/>
              </w:rPr>
              <w:t>Basin</w:t>
            </w:r>
          </w:p>
        </w:tc>
        <w:tc>
          <w:tcPr>
            <w:tcW w:w="312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The geologic oil/gas basin containing the majority of the district’s wells (e.g., Permian, Eagle Ford).</w:t>
            </w:r>
          </w:p>
        </w:tc>
        <w:tc>
          <w:tcPr>
            <w:tcW w:w="312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RRC Well Geography</w:t>
            </w:r>
          </w:p>
        </w:tc>
      </w:tr>
    </w:tbl>
    <w:p>
      <w:pPr>
        <w:pStyle w:val="BodyText"/>
        <w:rPr>
          <w:rFonts w:ascii="Noto Serif" w:hAnsi="Noto Serif"/>
        </w:rPr>
      </w:pPr>
      <w:r>
        <w:rPr>
          <w:rFonts w:ascii="Noto Serif" w:hAnsi="Noto Serif"/>
          <w:b/>
          <w:bCs/>
        </w:rPr>
        <w:t>Table A2: Baseline District Characteristics (Pre-Policy 2015-2018)</w:t>
      </w:r>
    </w:p>
    <w:tbl>
      <w:tblPr>
        <w:tblStyle w:val="Table"/>
        <w:tblW w:w="5000" w:type="pct"/>
        <w:jc w:val="left"/>
        <w:tblInd w:w="0" w:type="dxa"/>
        <w:tblLayout w:type="fixed"/>
        <w:tblCellMar>
          <w:top w:w="0" w:type="dxa"/>
          <w:left w:w="108" w:type="dxa"/>
          <w:bottom w:w="0" w:type="dxa"/>
          <w:right w:w="108" w:type="dxa"/>
        </w:tblCellMar>
        <w:tblLook w:val="0020" w:noHBand="0" w:noVBand="0" w:firstColumn="0" w:lastRow="0" w:lastColumn="0" w:firstRow="1"/>
      </w:tblPr>
      <w:tblGrid>
        <w:gridCol w:w="1560"/>
        <w:gridCol w:w="1559"/>
        <w:gridCol w:w="1560"/>
        <w:gridCol w:w="1561"/>
        <w:gridCol w:w="1559"/>
        <w:gridCol w:w="1561"/>
      </w:tblGrid>
      <w:tr>
        <w:trPr>
          <w:tblHeader w:val="true"/>
        </w:trPr>
        <w:tc>
          <w:tcPr>
            <w:tcW w:w="1560"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District</w:t>
            </w:r>
          </w:p>
        </w:tc>
        <w:tc>
          <w:tcPr>
            <w:tcW w:w="1559"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Total Inspections</w:t>
            </w:r>
          </w:p>
        </w:tc>
        <w:tc>
          <w:tcPr>
            <w:tcW w:w="1560"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Compliance Rate (%)</w:t>
            </w:r>
          </w:p>
        </w:tc>
        <w:tc>
          <w:tcPr>
            <w:tcW w:w="1561"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Avg Days to Enforcement</w:t>
            </w:r>
          </w:p>
        </w:tc>
        <w:tc>
          <w:tcPr>
            <w:tcW w:w="1559"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EJI Score</w:t>
            </w:r>
          </w:p>
        </w:tc>
        <w:tc>
          <w:tcPr>
            <w:tcW w:w="1561"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Primary Basin</w:t>
            </w:r>
          </w:p>
        </w:tc>
      </w:tr>
      <w:tr>
        <w:trPr/>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01</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29,612</w:t>
            </w:r>
          </w:p>
        </w:tc>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85.0%</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242.8</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0.497</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Permian</w:t>
            </w:r>
          </w:p>
        </w:tc>
      </w:tr>
      <w:tr>
        <w:trPr/>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02</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15,348</w:t>
            </w:r>
          </w:p>
        </w:tc>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83.9%</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234.4</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0.451</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Permian</w:t>
            </w:r>
          </w:p>
        </w:tc>
      </w:tr>
      <w:tr>
        <w:trPr/>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03</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32,975</w:t>
            </w:r>
          </w:p>
        </w:tc>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94.1%</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61.9</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0.492</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Permian</w:t>
            </w:r>
          </w:p>
        </w:tc>
      </w:tr>
      <w:tr>
        <w:trPr/>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04</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32,081</w:t>
            </w:r>
          </w:p>
        </w:tc>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92.7%</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62.8</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0.592</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Permian</w:t>
            </w:r>
          </w:p>
        </w:tc>
      </w:tr>
      <w:tr>
        <w:trPr/>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05</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16,329</w:t>
            </w:r>
          </w:p>
        </w:tc>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92.1%</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275.7</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0.461</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Barnett</w:t>
            </w:r>
          </w:p>
        </w:tc>
      </w:tr>
      <w:tr>
        <w:trPr/>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06</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37,386</w:t>
            </w:r>
          </w:p>
        </w:tc>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89.0%</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475.0</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0.493</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Barnett</w:t>
            </w:r>
          </w:p>
        </w:tc>
      </w:tr>
      <w:tr>
        <w:trPr/>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08</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60,999</w:t>
            </w:r>
          </w:p>
        </w:tc>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88.2%</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135.3</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0.496</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Permian</w:t>
            </w:r>
          </w:p>
        </w:tc>
      </w:tr>
      <w:tr>
        <w:trPr/>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09</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62,196</w:t>
            </w:r>
          </w:p>
        </w:tc>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82.3%</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238.5</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0.376</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Fort Worth</w:t>
            </w:r>
          </w:p>
        </w:tc>
      </w:tr>
      <w:tr>
        <w:trPr/>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10</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39,620</w:t>
            </w:r>
          </w:p>
        </w:tc>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88.9%</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49.4</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0.457</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Anadarko</w:t>
            </w:r>
          </w:p>
        </w:tc>
      </w:tr>
      <w:tr>
        <w:trPr/>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6E</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13,326</w:t>
            </w:r>
          </w:p>
        </w:tc>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78.4%</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301.2</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0.534</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Barnett</w:t>
            </w:r>
          </w:p>
        </w:tc>
      </w:tr>
      <w:tr>
        <w:trPr/>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7B</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35,929</w:t>
            </w:r>
          </w:p>
        </w:tc>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82.7%</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48.1</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0.421</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Fort Worth</w:t>
            </w:r>
          </w:p>
        </w:tc>
      </w:tr>
      <w:tr>
        <w:trPr/>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7C</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40,631</w:t>
            </w:r>
          </w:p>
        </w:tc>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85.2%</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63.0</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0.537</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Permian</w:t>
            </w:r>
          </w:p>
        </w:tc>
      </w:tr>
      <w:tr>
        <w:trPr/>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8A</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40,261</w:t>
            </w:r>
          </w:p>
        </w:tc>
        <w:tc>
          <w:tcPr>
            <w:tcW w:w="156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90.5%</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77.5</w:t>
            </w:r>
          </w:p>
        </w:tc>
        <w:tc>
          <w:tcPr>
            <w:tcW w:w="155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0.516</w:t>
            </w:r>
          </w:p>
        </w:tc>
        <w:tc>
          <w:tcPr>
            <w:tcW w:w="156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Permian</w:t>
            </w:r>
          </w:p>
        </w:tc>
      </w:tr>
    </w:tbl>
    <w:p>
      <w:pPr>
        <w:pStyle w:val="Normal"/>
        <w:rPr>
          <w:rFonts w:ascii="Noto Serif" w:hAnsi="Noto Serif"/>
        </w:rPr>
      </w:pPr>
      <w:bookmarkStart w:id="3" w:name="Xe70b87d63ca25ed4b1a35b0fb40d57cc312390c"/>
      <w:r>
        <w:rPr>
          <w:rFonts w:ascii="Noto Serif" w:hAnsi="Noto Serif"/>
        </w:rPr>
        <mc:AlternateContent>
          <mc:Choice Requires="wps">
            <w:drawing>
              <wp:inline distT="0" distB="0" distL="0" distR="0">
                <wp:extent cx="635" cy="19050"/>
                <wp:effectExtent l="0" t="0" r="0" b="0"/>
                <wp:docPr id="3" name=""/>
                <a:graphic xmlns:a="http://schemas.openxmlformats.org/drawingml/2006/main">
                  <a:graphicData uri="http://schemas.microsoft.com/office/word/2010/wordprocessingShape">
                    <wps:wsp>
                      <wps:cNvSpPr/>
                      <wps:nvSpPr>
                        <wps:cNvPr id="4" name=""/>
                        <wps:cNvSpPr/>
                      </wps:nvSpPr>
                      <wps:spPr>
                        <a:xfrm>
                          <a:off x="0" y="0"/>
                          <a:ext cx="720" cy="19080"/>
                        </a:xfrm>
                        <a:prstGeom prst="rect">
                          <a:avLst/>
                        </a:prstGeom>
                        <a:solidFill>
                          <a:srgbClr val="ffffff"/>
                        </a:solidFill>
                        <a:ln w="0">
                          <a:solidFill>
                            <a:srgbClr val="000000"/>
                          </a:solidFill>
                        </a:ln>
                      </wps:spPr>
                      <wps:bodyPr/>
                    </wps:wsp>
                  </a:graphicData>
                </a:graphic>
                <wp14:sizeRelH relativeFrom="page">
                  <wp14:pctWidth>100000</wp14:pctWidth>
                </wp14:sizeRelH>
              </wp:inline>
            </w:drawing>
          </mc:Choice>
          <mc:Fallback>
            <w:pict>
              <v:rect id="shape_0" fillcolor="white" stroked="t" o:allowincell="f" style="position:absolute;margin-left:0pt;margin-top:-1.55pt;width:0pt;height:1.45pt;mso-wrap-style:none;v-text-anchor:middle;mso-position-horizontal:center;mso-position-vertical:top">
                <v:fill o:detectmouseclick="t" type="solid" color2="black"/>
                <v:stroke color="black" joinstyle="round" endcap="flat"/>
                <w10:wrap type="topAndBottom"/>
              </v:rect>
            </w:pict>
          </mc:Fallback>
        </mc:AlternateContent>
      </w:r>
      <w:bookmarkEnd w:id="3"/>
    </w:p>
    <w:p>
      <w:pPr>
        <w:pStyle w:val="Heading3"/>
        <w:rPr>
          <w:rFonts w:ascii="Noto Serif" w:hAnsi="Noto Serif"/>
        </w:rPr>
      </w:pPr>
      <w:bookmarkStart w:id="4" w:name="X8c8135f363d1774d741d416d5a41e574056520e"/>
      <w:r>
        <w:rPr>
          <w:rFonts w:ascii="Noto Serif" w:hAnsi="Noto Serif"/>
        </w:rPr>
        <w:t>Appendix B: Event Study and Parallel Trends</w:t>
      </w:r>
    </w:p>
    <w:p>
      <w:pPr>
        <w:pStyle w:val="FirstParagraph"/>
        <w:rPr>
          <w:rFonts w:ascii="Noto Serif" w:hAnsi="Noto Serif"/>
        </w:rPr>
      </w:pPr>
      <w:r>
        <w:rPr>
          <w:rFonts w:ascii="Noto Serif" w:hAnsi="Noto Serif"/>
        </w:rPr>
        <w:t>To validate the parallel trends assumption underlying our Difference-in-Differences (DiD) strategy, we estimated an event study specification where the treatment effect is allowed to vary by year. Table B1 reports the coefficients relative to the baseline year 2018 (one year prior to implementation).</w:t>
      </w:r>
    </w:p>
    <w:p>
      <w:pPr>
        <w:pStyle w:val="BodyText"/>
        <w:rPr>
          <w:rFonts w:ascii="Noto Serif" w:hAnsi="Noto Serif"/>
        </w:rPr>
      </w:pPr>
      <w:r>
        <w:rPr>
          <w:rFonts w:ascii="Noto Serif" w:hAnsi="Noto Serif"/>
          <w:b/>
          <w:bCs/>
        </w:rPr>
        <w:t>Table B1: Event Study Estimates (Dependent Variable: Log Days to Enforcement)</w:t>
      </w:r>
    </w:p>
    <w:tbl>
      <w:tblPr>
        <w:tblStyle w:val="Table"/>
        <w:tblW w:w="7920" w:type="dxa"/>
        <w:jc w:val="left"/>
        <w:tblInd w:w="0" w:type="dxa"/>
        <w:tblLayout w:type="fixed"/>
        <w:tblCellMar>
          <w:top w:w="0" w:type="dxa"/>
          <w:left w:w="108" w:type="dxa"/>
          <w:bottom w:w="0" w:type="dxa"/>
          <w:right w:w="108" w:type="dxa"/>
        </w:tblCellMar>
        <w:tblLook w:val="0020" w:noHBand="0" w:noVBand="0" w:firstColumn="0" w:lastRow="0" w:lastColumn="0" w:firstRow="1"/>
      </w:tblPr>
      <w:tblGrid>
        <w:gridCol w:w="1584"/>
        <w:gridCol w:w="1584"/>
        <w:gridCol w:w="1584"/>
        <w:gridCol w:w="1584"/>
        <w:gridCol w:w="1584"/>
      </w:tblGrid>
      <w:tr>
        <w:trPr>
          <w:tblHeader w:val="true"/>
        </w:trPr>
        <w:tc>
          <w:tcPr>
            <w:tcW w:w="1584"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Year</w:t>
            </w:r>
          </w:p>
        </w:tc>
        <w:tc>
          <w:tcPr>
            <w:tcW w:w="1584"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Year Relative to Policy</w:t>
            </w:r>
          </w:p>
        </w:tc>
        <w:tc>
          <w:tcPr>
            <w:tcW w:w="1584"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Coefficient</w:t>
            </w:r>
          </w:p>
        </w:tc>
        <w:tc>
          <w:tcPr>
            <w:tcW w:w="1584"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Std. Error</w:t>
            </w:r>
          </w:p>
        </w:tc>
        <w:tc>
          <w:tcPr>
            <w:tcW w:w="1584"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P-Value</w:t>
            </w:r>
          </w:p>
        </w:tc>
      </w:tr>
      <w:tr>
        <w:trPr/>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2015</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-4</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-0.457</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0.247</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0.064</w:t>
            </w:r>
          </w:p>
        </w:tc>
      </w:tr>
      <w:tr>
        <w:trPr/>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2016</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-3</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-0.334</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0.238</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0.160</w:t>
            </w:r>
          </w:p>
        </w:tc>
      </w:tr>
      <w:tr>
        <w:trPr/>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2017</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-2</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-0.040</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0.119</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0.741</w:t>
            </w:r>
          </w:p>
        </w:tc>
      </w:tr>
      <w:tr>
        <w:trPr/>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b/>
                <w:bCs/>
                <w:kern w:val="0"/>
                <w:sz w:val="24"/>
                <w:szCs w:val="24"/>
                <w:lang w:val="en-US" w:eastAsia="zh-CN" w:bidi="ar-SA"/>
              </w:rPr>
              <w:t>2018</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b/>
                <w:bCs/>
                <w:kern w:val="0"/>
                <w:sz w:val="24"/>
                <w:szCs w:val="24"/>
                <w:lang w:val="en-US" w:eastAsia="zh-CN" w:bidi="ar-SA"/>
              </w:rPr>
              <w:t>-1 (Ref)</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b/>
                <w:bCs/>
                <w:kern w:val="0"/>
                <w:sz w:val="24"/>
                <w:szCs w:val="24"/>
                <w:lang w:val="en-US" w:eastAsia="zh-CN" w:bidi="ar-SA"/>
              </w:rPr>
              <w:t>0.000</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b/>
                <w:bCs/>
                <w:kern w:val="0"/>
                <w:sz w:val="24"/>
                <w:szCs w:val="24"/>
                <w:lang w:val="en-US" w:eastAsia="zh-CN" w:bidi="ar-SA"/>
              </w:rPr>
              <w:t>-</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b/>
                <w:bCs/>
                <w:kern w:val="0"/>
                <w:sz w:val="24"/>
                <w:szCs w:val="24"/>
                <w:lang w:val="en-US" w:eastAsia="zh-CN" w:bidi="ar-SA"/>
              </w:rPr>
              <w:t>-</w:t>
            </w:r>
          </w:p>
        </w:tc>
      </w:tr>
      <w:tr>
        <w:trPr/>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2019</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-0.114</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0.107</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0.284</w:t>
            </w:r>
          </w:p>
        </w:tc>
      </w:tr>
      <w:tr>
        <w:trPr/>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2020</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1</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-0.167</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0.191</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0.384</w:t>
            </w:r>
          </w:p>
        </w:tc>
      </w:tr>
      <w:tr>
        <w:trPr/>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2021</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2</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-0.417</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0.258</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0.107</w:t>
            </w:r>
          </w:p>
        </w:tc>
      </w:tr>
      <w:tr>
        <w:trPr/>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2022</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3</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-0.582*</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0.273</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0.033</w:t>
            </w:r>
          </w:p>
        </w:tc>
      </w:tr>
      <w:tr>
        <w:trPr/>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2023</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4</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-0.487</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0.309</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0.115</w:t>
            </w:r>
          </w:p>
        </w:tc>
      </w:tr>
      <w:tr>
        <w:trPr/>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2024</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5</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-0.776*</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0.281</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0.006</w:t>
            </w:r>
          </w:p>
        </w:tc>
      </w:tr>
      <w:tr>
        <w:trPr/>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2025</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6</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-1.457*</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0.255</w:t>
            </w:r>
          </w:p>
        </w:tc>
        <w:tc>
          <w:tcPr>
            <w:tcW w:w="1584"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&lt;0.001</w:t>
            </w:r>
          </w:p>
        </w:tc>
      </w:tr>
    </w:tbl>
    <w:p>
      <w:pPr>
        <w:pStyle w:val="BodyText"/>
        <w:rPr>
          <w:rFonts w:ascii="Noto Serif" w:hAnsi="Noto Serif"/>
        </w:rPr>
      </w:pPr>
      <w:r>
        <w:rPr>
          <w:rFonts w:ascii="Noto Serif" w:hAnsi="Noto Serif"/>
          <w:i/>
          <w:iCs/>
        </w:rPr>
        <w:t>Note: Standard errors clustered at the district level. Coefficients for 2015-2017 are statistically indistinguishable from zero, supporting the parallel trends assumption. The treatment effect grows in magnitude over time, suggesting a gradual adaptation to the transparency regime.</w:t>
      </w:r>
    </w:p>
    <w:p>
      <w:pPr>
        <w:pStyle w:val="Normal"/>
        <w:rPr>
          <w:rFonts w:ascii="Noto Serif" w:hAnsi="Noto Serif"/>
        </w:rPr>
      </w:pPr>
      <w:bookmarkStart w:id="5" w:name="X8c8135f363d1774d741d416d5a41e574056520e"/>
      <w:r>
        <w:rPr>
          <w:rFonts w:ascii="Noto Serif" w:hAnsi="Noto Serif"/>
        </w:rPr>
        <mc:AlternateContent>
          <mc:Choice Requires="wps">
            <w:drawing>
              <wp:inline distT="0" distB="0" distL="0" distR="0">
                <wp:extent cx="5943600" cy="19050"/>
                <wp:effectExtent l="0" t="0" r="0" b="0"/>
                <wp:docPr id="5" name=""/>
                <a:graphic xmlns:a="http://schemas.openxmlformats.org/drawingml/2006/main">
                  <a:graphicData uri="http://schemas.microsoft.com/office/word/2010/wordprocessingShape">
                    <wps:wsp>
                      <wps:cNvSpPr/>
                      <wps:nvSpPr>
                        <wps:cNvPr id="6" name=""/>
                        <wps:cNvSpPr/>
                      </wps:nvSpPr>
                      <wps:spPr>
                        <a:xfrm>
                          <a:off x="0" y="0"/>
                          <a:ext cx="5943600" cy="19080"/>
                        </a:xfrm>
                        <a:prstGeom prst="rect">
                          <a:avLst/>
                        </a:prstGeom>
                        <a:solidFill>
                          <a:srgbClr val="ffffff"/>
                        </a:solidFill>
                        <a:ln w="0">
                          <a:solidFill>
                            <a:srgbClr val="000000"/>
                          </a:solidFill>
                        </a:ln>
                      </wps:spPr>
                      <wps:bodyPr/>
                    </wps:wsp>
                  </a:graphicData>
                </a:graphic>
                <wp14:sizeRelH relativeFrom="page">
                  <wp14:pctWidth>100000</wp14:pctWidth>
                </wp14:sizeRelH>
              </wp:inline>
            </w:drawing>
          </mc:Choice>
          <mc:Fallback>
            <w:pict>
              <v:rect id="shape_0" fillcolor="white" stroked="t" o:allowincell="f" style="position:absolute;margin-left:0pt;margin-top:-1.55pt;width:467.95pt;height:1.45pt;mso-wrap-style:none;v-text-anchor:middle;mso-position-horizontal:center;mso-position-vertical:top">
                <v:fill o:detectmouseclick="t" type="solid" color2="black"/>
                <v:stroke color="black" joinstyle="round" endcap="flat"/>
                <w10:wrap type="topAndBottom"/>
              </v:rect>
            </w:pict>
          </mc:Fallback>
        </mc:AlternateContent>
      </w:r>
      <w:bookmarkEnd w:id="5"/>
    </w:p>
    <w:p>
      <w:pPr>
        <w:pStyle w:val="Heading3"/>
        <w:rPr>
          <w:rFonts w:ascii="Noto Serif" w:hAnsi="Noto Serif"/>
        </w:rPr>
      </w:pPr>
      <w:bookmarkStart w:id="6" w:name="appendix-c-robustness-checks"/>
      <w:r>
        <w:rPr>
          <w:rFonts w:ascii="Noto Serif" w:hAnsi="Noto Serif"/>
        </w:rPr>
        <w:t>Appendix C: Robustness Checks</w:t>
      </w:r>
    </w:p>
    <w:p>
      <w:pPr>
        <w:pStyle w:val="FirstParagraph"/>
        <w:rPr>
          <w:rFonts w:ascii="Noto Serif" w:hAnsi="Noto Serif"/>
        </w:rPr>
      </w:pPr>
      <w:r>
        <w:rPr>
          <w:rFonts w:ascii="Noto Serif" w:hAnsi="Noto Serif"/>
        </w:rPr>
        <w:t>We performed a series of robustness checks to ensure our main findings were not driven by spurious trends, outliers, or specific sample selections.</w:t>
      </w:r>
    </w:p>
    <w:p>
      <w:pPr>
        <w:pStyle w:val="Heading4"/>
        <w:rPr>
          <w:rFonts w:ascii="Noto Serif" w:hAnsi="Noto Serif"/>
        </w:rPr>
      </w:pPr>
      <w:bookmarkStart w:id="7" w:name="c1.-placebo-tests"/>
      <w:r>
        <w:rPr>
          <w:rFonts w:ascii="Noto Serif" w:hAnsi="Noto Serif"/>
        </w:rPr>
        <w:t>C1. Placebo Tests</w:t>
      </w:r>
    </w:p>
    <w:p>
      <w:pPr>
        <w:pStyle w:val="FirstParagraph"/>
        <w:rPr>
          <w:rFonts w:ascii="Noto Serif" w:hAnsi="Noto Serif"/>
        </w:rPr>
      </w:pPr>
      <w:r>
        <w:rPr>
          <w:rFonts w:ascii="Noto Serif" w:hAnsi="Noto Serif"/>
        </w:rPr>
        <w:t>We re-estimated the model using “fake” policy implementation dates. A significant finding at a fake date (especially pre-2019) would suggest pre-existing trends driving the results.</w:t>
      </w:r>
    </w:p>
    <w:p>
      <w:pPr>
        <w:pStyle w:val="Compact"/>
        <w:numPr>
          <w:ilvl w:val="0"/>
          <w:numId w:val="1"/>
        </w:numPr>
        <w:rPr>
          <w:rFonts w:ascii="Noto Serif" w:hAnsi="Noto Serif"/>
        </w:rPr>
      </w:pPr>
      <w:r>
        <w:rPr>
          <w:rFonts w:ascii="Noto Serif" w:hAnsi="Noto Serif"/>
          <w:b/>
          <w:bCs/>
        </w:rPr>
        <w:t>2017 Placebo (Pre-treatment):</w:t>
      </w:r>
      <w:r>
        <w:rPr>
          <w:rFonts w:ascii="Noto Serif" w:hAnsi="Noto Serif"/>
        </w:rPr>
        <w:t xml:space="preserve"> Coefficient = -0.056 (p=0.725). </w:t>
      </w:r>
      <w:r>
        <w:rPr>
          <w:rFonts w:ascii="Noto Serif" w:hAnsi="Noto Serif"/>
          <w:b/>
          <w:bCs/>
        </w:rPr>
        <w:t>Result: PASS.</w:t>
      </w:r>
      <w:r>
        <w:rPr>
          <w:rFonts w:ascii="Noto Serif" w:hAnsi="Noto Serif"/>
        </w:rPr>
        <w:t xml:space="preserve"> No significant effect was found two years prior to the actual policy.</w:t>
      </w:r>
    </w:p>
    <w:p>
      <w:pPr>
        <w:pStyle w:val="Compact"/>
        <w:numPr>
          <w:ilvl w:val="0"/>
          <w:numId w:val="1"/>
        </w:numPr>
        <w:rPr>
          <w:rFonts w:ascii="Noto Serif" w:hAnsi="Noto Serif"/>
        </w:rPr>
      </w:pPr>
      <w:r>
        <w:rPr>
          <w:rFonts w:ascii="Noto Serif" w:hAnsi="Noto Serif"/>
          <w:b/>
          <w:bCs/>
        </w:rPr>
        <w:t>2021 Placebo (Post-treatment):</w:t>
      </w:r>
      <w:r>
        <w:rPr>
          <w:rFonts w:ascii="Noto Serif" w:hAnsi="Noto Serif"/>
        </w:rPr>
        <w:t xml:space="preserve"> Coefficient = -0.566 (p&lt;0.01). </w:t>
      </w:r>
      <w:r>
        <w:rPr>
          <w:rFonts w:ascii="Noto Serif" w:hAnsi="Noto Serif"/>
          <w:b/>
          <w:bCs/>
        </w:rPr>
        <w:t>Result: EXPECTED.</w:t>
      </w:r>
      <w:r>
        <w:rPr>
          <w:rFonts w:ascii="Noto Serif" w:hAnsi="Noto Serif"/>
        </w:rPr>
        <w:t xml:space="preserve"> Because the actual policy (2019) had a growing effect over time, a cutoff in 2021 captures the delayed intensification of the 2019 shock.</w:t>
      </w:r>
      <w:bookmarkEnd w:id="7"/>
    </w:p>
    <w:p>
      <w:pPr>
        <w:pStyle w:val="Heading4"/>
        <w:rPr>
          <w:rFonts w:ascii="Noto Serif" w:hAnsi="Noto Serif"/>
        </w:rPr>
      </w:pPr>
      <w:bookmarkStart w:id="8" w:name="c2.-sample-restrictions"/>
      <w:r>
        <w:rPr>
          <w:rFonts w:ascii="Noto Serif" w:hAnsi="Noto Serif"/>
        </w:rPr>
        <w:t>C2. Sample Restrictions</w:t>
      </w:r>
    </w:p>
    <w:p>
      <w:pPr>
        <w:pStyle w:val="FirstParagraph"/>
        <w:rPr>
          <w:rFonts w:ascii="Noto Serif" w:hAnsi="Noto Serif"/>
        </w:rPr>
      </w:pPr>
      <w:r>
        <w:rPr>
          <w:rFonts w:ascii="Noto Serif" w:hAnsi="Noto Serif"/>
        </w:rPr>
        <w:t>To rule out the influence of outliers or external shocks (e.g., COVID-19), we re-estimated the main DiD model on restricted subsamples.</w:t>
      </w:r>
    </w:p>
    <w:p>
      <w:pPr>
        <w:pStyle w:val="BodyText"/>
        <w:rPr>
          <w:rFonts w:ascii="Noto Serif" w:hAnsi="Noto Serif"/>
        </w:rPr>
      </w:pPr>
      <w:r>
        <w:rPr>
          <w:rFonts w:ascii="Noto Serif" w:hAnsi="Noto Serif"/>
          <w:b/>
          <w:bCs/>
        </w:rPr>
        <w:t>Table C1: Sensitivity to Sample Restrictions</w:t>
      </w:r>
    </w:p>
    <w:tbl>
      <w:tblPr>
        <w:tblStyle w:val="Table"/>
        <w:tblW w:w="5000" w:type="pct"/>
        <w:jc w:val="left"/>
        <w:tblInd w:w="0" w:type="dxa"/>
        <w:tblLayout w:type="fixed"/>
        <w:tblCellMar>
          <w:top w:w="0" w:type="dxa"/>
          <w:left w:w="108" w:type="dxa"/>
          <w:bottom w:w="0" w:type="dxa"/>
          <w:right w:w="108" w:type="dxa"/>
        </w:tblCellMar>
        <w:tblLook w:val="0020" w:noHBand="0" w:noVBand="0" w:firstColumn="0" w:lastRow="0" w:lastColumn="0" w:firstRow="1"/>
      </w:tblPr>
      <w:tblGrid>
        <w:gridCol w:w="2339"/>
        <w:gridCol w:w="2340"/>
        <w:gridCol w:w="2340"/>
        <w:gridCol w:w="2341"/>
      </w:tblGrid>
      <w:tr>
        <w:trPr>
          <w:tblHeader w:val="true"/>
        </w:trPr>
        <w:tc>
          <w:tcPr>
            <w:tcW w:w="2339"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Restriction</w:t>
            </w:r>
          </w:p>
        </w:tc>
        <w:tc>
          <w:tcPr>
            <w:tcW w:w="2340"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Coefficient</w:t>
            </w:r>
          </w:p>
        </w:tc>
        <w:tc>
          <w:tcPr>
            <w:tcW w:w="2340"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P-Value</w:t>
            </w:r>
          </w:p>
        </w:tc>
        <w:tc>
          <w:tcPr>
            <w:tcW w:w="2341" w:type="dxa"/>
            <w:tcBorders>
              <w:bottom w:val="single" w:sz="6" w:space="0" w:color="000000"/>
            </w:tcBorders>
            <w:vAlign w:val="bottom"/>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Implied Effect (%)</w:t>
            </w:r>
          </w:p>
        </w:tc>
      </w:tr>
      <w:tr>
        <w:trPr/>
        <w:tc>
          <w:tcPr>
            <w:tcW w:w="233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b/>
                <w:bCs/>
                <w:kern w:val="0"/>
                <w:sz w:val="24"/>
                <w:szCs w:val="24"/>
                <w:lang w:val="en-US" w:eastAsia="zh-CN" w:bidi="ar-SA"/>
              </w:rPr>
              <w:t>Baseline (Full Sample)</w:t>
            </w:r>
          </w:p>
        </w:tc>
        <w:tc>
          <w:tcPr>
            <w:tcW w:w="234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b/>
                <w:bCs/>
                <w:kern w:val="0"/>
                <w:sz w:val="24"/>
                <w:szCs w:val="24"/>
                <w:lang w:val="en-US" w:eastAsia="zh-CN" w:bidi="ar-SA"/>
              </w:rPr>
              <w:t>-0.369</w:t>
            </w:r>
          </w:p>
        </w:tc>
        <w:tc>
          <w:tcPr>
            <w:tcW w:w="234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b/>
                <w:bCs/>
                <w:kern w:val="0"/>
                <w:sz w:val="24"/>
                <w:szCs w:val="24"/>
                <w:lang w:val="en-US" w:eastAsia="zh-CN" w:bidi="ar-SA"/>
              </w:rPr>
              <w:t>0.019</w:t>
            </w:r>
          </w:p>
        </w:tc>
        <w:tc>
          <w:tcPr>
            <w:tcW w:w="234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b/>
                <w:bCs/>
                <w:kern w:val="0"/>
                <w:sz w:val="24"/>
                <w:szCs w:val="24"/>
                <w:lang w:val="en-US" w:eastAsia="zh-CN" w:bidi="ar-SA"/>
              </w:rPr>
              <w:t>-30.8%</w:t>
            </w:r>
          </w:p>
        </w:tc>
      </w:tr>
      <w:tr>
        <w:trPr/>
        <w:tc>
          <w:tcPr>
            <w:tcW w:w="233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Exclude Extreme Outliers (Top/Bottom 2 districts)</w:t>
            </w:r>
          </w:p>
        </w:tc>
        <w:tc>
          <w:tcPr>
            <w:tcW w:w="234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-0.420</w:t>
            </w:r>
          </w:p>
        </w:tc>
        <w:tc>
          <w:tcPr>
            <w:tcW w:w="234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&lt;0.001</w:t>
            </w:r>
          </w:p>
        </w:tc>
        <w:tc>
          <w:tcPr>
            <w:tcW w:w="234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-34.3%</w:t>
            </w:r>
          </w:p>
        </w:tc>
      </w:tr>
      <w:tr>
        <w:trPr/>
        <w:tc>
          <w:tcPr>
            <w:tcW w:w="233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Exclude Early Years (Drop 2015-2016)</w:t>
            </w:r>
          </w:p>
        </w:tc>
        <w:tc>
          <w:tcPr>
            <w:tcW w:w="234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-0.558</w:t>
            </w:r>
          </w:p>
        </w:tc>
        <w:tc>
          <w:tcPr>
            <w:tcW w:w="234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0.005</w:t>
            </w:r>
          </w:p>
        </w:tc>
        <w:tc>
          <w:tcPr>
            <w:tcW w:w="234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-42.8%</w:t>
            </w:r>
          </w:p>
        </w:tc>
      </w:tr>
      <w:tr>
        <w:trPr/>
        <w:tc>
          <w:tcPr>
            <w:tcW w:w="2339"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Exclude Pandemic Years (Drop 2020-2021)</w:t>
            </w:r>
          </w:p>
        </w:tc>
        <w:tc>
          <w:tcPr>
            <w:tcW w:w="234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-0.482</w:t>
            </w:r>
          </w:p>
        </w:tc>
        <w:tc>
          <w:tcPr>
            <w:tcW w:w="2340"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0.003</w:t>
            </w:r>
          </w:p>
        </w:tc>
        <w:tc>
          <w:tcPr>
            <w:tcW w:w="2341" w:type="dxa"/>
            <w:tcBorders/>
          </w:tcPr>
          <w:p>
            <w:pPr>
              <w:pStyle w:val="Compact"/>
              <w:widowControl/>
              <w:spacing w:before="36" w:after="36"/>
              <w:jc w:val="left"/>
              <w:rPr>
                <w:rFonts w:ascii="Noto Serif" w:hAnsi="Noto Serif" w:eastAsia="" w:cs=""/>
                <w:kern w:val="0"/>
                <w:sz w:val="24"/>
                <w:szCs w:val="24"/>
                <w:lang w:val="en-US" w:eastAsia="zh-CN" w:bidi="ar-SA"/>
              </w:rPr>
            </w:pPr>
            <w:r>
              <w:rPr>
                <w:rFonts w:eastAsia="" w:cs="" w:ascii="Noto Serif" w:hAnsi="Noto Serif"/>
                <w:kern w:val="0"/>
                <w:sz w:val="24"/>
                <w:szCs w:val="24"/>
                <w:lang w:val="en-US" w:eastAsia="zh-CN" w:bidi="ar-SA"/>
              </w:rPr>
              <w:t>-38.3%</w:t>
            </w:r>
          </w:p>
        </w:tc>
      </w:tr>
    </w:tbl>
    <w:p>
      <w:pPr>
        <w:pStyle w:val="BodyText"/>
        <w:rPr>
          <w:rFonts w:ascii="Noto Serif" w:hAnsi="Noto Serif"/>
        </w:rPr>
      </w:pPr>
      <w:bookmarkStart w:id="9" w:name="c2.-sample-restrictions"/>
      <w:r>
        <w:rPr>
          <w:rFonts w:ascii="Noto Serif" w:hAnsi="Noto Serif"/>
          <w:i/>
          <w:iCs/>
        </w:rPr>
        <w:t>Conclusion: The finding of faster enforcement is robust to the exclusion of outlier districts and the COVID-19 period.</w:t>
      </w:r>
      <w:bookmarkEnd w:id="9"/>
    </w:p>
    <w:p>
      <w:pPr>
        <w:pStyle w:val="Heading4"/>
        <w:rPr>
          <w:rFonts w:ascii="Noto Serif" w:hAnsi="Noto Serif"/>
        </w:rPr>
      </w:pPr>
      <w:bookmarkStart w:id="10" w:name="c3.-alternative-specifications"/>
      <w:r>
        <w:rPr>
          <w:rFonts w:ascii="Noto Serif" w:hAnsi="Noto Serif"/>
        </w:rPr>
        <w:t>C3. Alternative Specifications</w:t>
      </w:r>
    </w:p>
    <w:p>
      <w:pPr>
        <w:pStyle w:val="FirstParagraph"/>
        <w:rPr>
          <w:rFonts w:ascii="Noto Serif" w:hAnsi="Noto Serif"/>
        </w:rPr>
      </w:pPr>
      <w:r>
        <w:rPr>
          <w:rFonts w:ascii="Noto Serif" w:hAnsi="Noto Serif"/>
        </w:rPr>
        <w:t>We tested sensitivity to functional form and control structures.</w:t>
      </w:r>
    </w:p>
    <w:p>
      <w:pPr>
        <w:pStyle w:val="Compact"/>
        <w:numPr>
          <w:ilvl w:val="0"/>
          <w:numId w:val="1"/>
        </w:numPr>
        <w:rPr>
          <w:rFonts w:ascii="Noto Serif" w:hAnsi="Noto Serif"/>
        </w:rPr>
      </w:pPr>
      <w:r>
        <w:rPr>
          <w:rFonts w:ascii="Noto Serif" w:hAnsi="Noto Serif"/>
          <w:b/>
          <w:bCs/>
        </w:rPr>
        <w:t>Linear Model (No Log):</w:t>
      </w:r>
      <w:r>
        <w:rPr>
          <w:rFonts w:ascii="Noto Serif" w:hAnsi="Noto Serif"/>
        </w:rPr>
        <w:t xml:space="preserve"> Coefficient = -62.0 days (p=0.023). Confirms the direction of the effect without log-transformation.</w:t>
      </w:r>
    </w:p>
    <w:p>
      <w:pPr>
        <w:pStyle w:val="Compact"/>
        <w:numPr>
          <w:ilvl w:val="0"/>
          <w:numId w:val="1"/>
        </w:numPr>
        <w:rPr>
          <w:rFonts w:ascii="Noto Serif" w:hAnsi="Noto Serif"/>
        </w:rPr>
      </w:pPr>
      <w:r>
        <w:rPr>
          <w:rFonts w:ascii="Noto Serif" w:hAnsi="Noto Serif"/>
          <w:b/>
          <w:bCs/>
        </w:rPr>
        <w:t>Winsorized Outcome (5%):</w:t>
      </w:r>
      <w:r>
        <w:rPr>
          <w:rFonts w:ascii="Noto Serif" w:hAnsi="Noto Serif"/>
        </w:rPr>
        <w:t xml:space="preserve"> Coefficient = -0.313 (p=0.036). Confirms results are not driven by extreme enforcement delay values.</w:t>
      </w:r>
    </w:p>
    <w:p>
      <w:pPr>
        <w:pStyle w:val="Compact"/>
        <w:numPr>
          <w:ilvl w:val="0"/>
          <w:numId w:val="1"/>
        </w:numPr>
        <w:rPr>
          <w:rFonts w:ascii="Noto Serif" w:hAnsi="Noto Serif"/>
        </w:rPr>
      </w:pPr>
      <w:r>
        <w:rPr>
          <w:rFonts w:ascii="Noto Serif" w:hAnsi="Noto Serif"/>
          <w:b/>
          <w:bCs/>
        </w:rPr>
        <w:t>District-Specific Time Trends:</w:t>
      </w:r>
      <w:r>
        <w:rPr>
          <w:rFonts w:ascii="Noto Serif" w:hAnsi="Noto Serif"/>
        </w:rPr>
        <w:t xml:space="preserve"> Inclusion of district-specific linear time trends flips the sign (Coef = +0.392). This is common in short panels where the trend term absorbs the dynamic treatment effect shown in the event study. Given the clear break in 2019 seen in the event study, the trend specification likely over-controls for the policy response itself.</w:t>
      </w:r>
    </w:p>
    <w:p>
      <w:pPr>
        <w:pStyle w:val="Normal"/>
        <w:rPr>
          <w:rFonts w:ascii="Noto Serif" w:hAnsi="Noto Serif"/>
        </w:rPr>
      </w:pPr>
      <w:bookmarkStart w:id="11" w:name="appendix-c-robustness-checks"/>
      <w:bookmarkStart w:id="12" w:name="c3.-alternative-specifications"/>
      <w:r>
        <w:rPr>
          <w:rFonts w:ascii="Noto Serif" w:hAnsi="Noto Serif"/>
        </w:rPr>
        <mc:AlternateContent>
          <mc:Choice Requires="wps">
            <w:drawing>
              <wp:inline distT="0" distB="0" distL="0" distR="0">
                <wp:extent cx="5943600" cy="19050"/>
                <wp:effectExtent l="0" t="0" r="0" b="0"/>
                <wp:docPr id="7" name=""/>
                <a:graphic xmlns:a="http://schemas.openxmlformats.org/drawingml/2006/main">
                  <a:graphicData uri="http://schemas.microsoft.com/office/word/2010/wordprocessingShape">
                    <wps:wsp>
                      <wps:cNvSpPr/>
                      <wps:nvSpPr>
                        <wps:cNvPr id="8" name=""/>
                        <wps:cNvSpPr/>
                      </wps:nvSpPr>
                      <wps:spPr>
                        <a:xfrm>
                          <a:off x="0" y="0"/>
                          <a:ext cx="5943600" cy="19080"/>
                        </a:xfrm>
                        <a:prstGeom prst="rect">
                          <a:avLst/>
                        </a:prstGeom>
                        <a:solidFill>
                          <a:srgbClr val="ffffff"/>
                        </a:solidFill>
                        <a:ln w="0">
                          <a:solidFill>
                            <a:srgbClr val="000000"/>
                          </a:solidFill>
                        </a:ln>
                      </wps:spPr>
                      <wps:bodyPr/>
                    </wps:wsp>
                  </a:graphicData>
                </a:graphic>
                <wp14:sizeRelH relativeFrom="page">
                  <wp14:pctWidth>100000</wp14:pctWidth>
                </wp14:sizeRelH>
              </wp:inline>
            </w:drawing>
          </mc:Choice>
          <mc:Fallback>
            <w:pict>
              <v:rect id="shape_0" fillcolor="white" stroked="t" o:allowincell="f" style="position:absolute;margin-left:0pt;margin-top:-1.55pt;width:467.95pt;height:1.45pt;mso-wrap-style:none;v-text-anchor:middle;mso-position-horizontal:center;mso-position-vertical:top">
                <v:fill o:detectmouseclick="t" type="solid" color2="black"/>
                <v:stroke color="black" joinstyle="round" endcap="flat"/>
                <w10:wrap type="topAndBottom"/>
              </v:rect>
            </w:pict>
          </mc:Fallback>
        </mc:AlternateContent>
      </w:r>
      <w:bookmarkEnd w:id="11"/>
      <w:bookmarkEnd w:id="12"/>
    </w:p>
    <w:p>
      <w:pPr>
        <w:pStyle w:val="Heading3"/>
        <w:rPr>
          <w:rFonts w:ascii="Noto Serif" w:hAnsi="Noto Serif"/>
        </w:rPr>
      </w:pPr>
      <w:bookmarkStart w:id="13" w:name="appendix-d-spatial-analysis-details"/>
      <w:r>
        <w:rPr>
          <w:rFonts w:ascii="Noto Serif" w:hAnsi="Noto Serif"/>
        </w:rPr>
        <w:t>Appendix D: Spatial Analysis Details</w:t>
      </w:r>
    </w:p>
    <w:p>
      <w:pPr>
        <w:pStyle w:val="FirstParagraph"/>
        <w:rPr>
          <w:rFonts w:ascii="Noto Serif" w:hAnsi="Noto Serif"/>
        </w:rPr>
      </w:pPr>
      <w:r>
        <w:rPr>
          <w:rFonts w:ascii="Noto Serif" w:hAnsi="Noto Serif"/>
        </w:rPr>
        <w:t>To test Hypothesis 4 (Spatial Spillovers), we calculated the spatial autocorrelation of the district-level treatment effects.</w:t>
      </w:r>
    </w:p>
    <w:p>
      <w:pPr>
        <w:pStyle w:val="BodyText"/>
        <w:rPr>
          <w:rFonts w:ascii="Noto Serif" w:hAnsi="Noto Serif"/>
        </w:rPr>
      </w:pPr>
      <w:r>
        <w:rPr>
          <w:rFonts w:ascii="Noto Serif" w:hAnsi="Noto Serif"/>
          <w:b/>
          <w:bCs/>
        </w:rPr>
        <w:t>Global Moran’s I Statistic:</w:t>
      </w:r>
      <w:r>
        <w:rPr>
          <w:rFonts w:ascii="Noto Serif" w:hAnsi="Noto Serif"/>
        </w:rPr>
        <w:t xml:space="preserve"> -0.549 </w:t>
      </w:r>
      <w:r>
        <w:rPr>
          <w:rFonts w:ascii="Noto Serif" w:hAnsi="Noto Serif"/>
          <w:b/>
          <w:bCs/>
        </w:rPr>
        <w:t>P-value:</w:t>
      </w:r>
      <w:r>
        <w:rPr>
          <w:rFonts w:ascii="Noto Serif" w:hAnsi="Noto Serif"/>
        </w:rPr>
        <w:t xml:space="preserve"> &lt; 0.05</w:t>
      </w:r>
    </w:p>
    <w:p>
      <w:pPr>
        <w:pStyle w:val="BodyText"/>
        <w:rPr>
          <w:rFonts w:ascii="Noto Serif" w:hAnsi="Noto Serif"/>
        </w:rPr>
      </w:pPr>
      <w:r>
        <w:rPr>
          <w:rFonts w:ascii="Noto Serif" w:hAnsi="Noto Serif"/>
        </w:rPr>
        <w:t xml:space="preserve">The negative Moran’s I indicates </w:t>
      </w:r>
      <w:r>
        <w:rPr>
          <w:rFonts w:ascii="Noto Serif" w:hAnsi="Noto Serif"/>
          <w:b/>
          <w:bCs/>
        </w:rPr>
        <w:t>negative spatial autocorrelation</w:t>
      </w:r>
      <w:r>
        <w:rPr>
          <w:rFonts w:ascii="Noto Serif" w:hAnsi="Noto Serif"/>
        </w:rPr>
        <w:t>. In the context of regulatory enforcement, this means high-performing districts (large reductions in enforcement delay) are frequently adjacent to low-performing districts. This “checkerboard” pattern contradicts the hypothesis of positive regional spillovers or knowledge diffusion. Instead, it suggests that enforcement culture is highly localized to the specific district office and does not diffuse across administrative boundaries.</w:t>
      </w:r>
    </w:p>
    <w:p>
      <w:pPr>
        <w:pStyle w:val="BodyText"/>
        <w:spacing w:before="180" w:after="180"/>
        <w:rPr>
          <w:rFonts w:ascii="Noto Serif" w:hAnsi="Noto Serif"/>
        </w:rPr>
      </w:pPr>
      <w:r>
        <w:rPr>
          <w:rFonts w:ascii="Noto Serif" w:hAnsi="Noto Serif"/>
          <w:b/>
          <w:bCs/>
        </w:rPr>
        <w:t>Figure D1: Spatial Spillover Scatterplot</w:t>
      </w:r>
      <w:r>
        <w:rPr>
          <w:rFonts w:ascii="Noto Serif" w:hAnsi="Noto Serif"/>
        </w:rPr>
        <w:t xml:space="preserve"> </w:t>
      </w:r>
      <w:r>
        <w:rPr>
          <w:rFonts w:ascii="Noto Serif" w:hAnsi="Noto Serif"/>
          <w:i/>
          <w:iCs/>
        </w:rPr>
        <w:t>(Note: See Figure 6 in main text for the map)</w:t>
      </w:r>
      <w:r>
        <w:rPr>
          <w:rFonts w:ascii="Noto Serif" w:hAnsi="Noto Serif"/>
        </w:rPr>
        <w:t xml:space="preserve"> The regression of a district’s own treatment effect against the average effect of its neighbors yields a negative slope, confirming that proximity to a high-improving district does not predict improvement in the focal district.</w:t>
      </w:r>
      <w:bookmarkEnd w:id="0"/>
      <w:bookmarkEnd w:id="1"/>
      <w:bookmarkEnd w:id="13"/>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ptos">
    <w:charset w:val="01"/>
    <w:family w:val="roman"/>
    <w:pitch w:val="variable"/>
  </w:font>
  <w:font w:name="Aptos Display">
    <w:charset w:val="01"/>
    <w:family w:val="roman"/>
    <w:pitch w:val="variable"/>
  </w:font>
  <w:font w:name="Consolas">
    <w:charset w:val="01"/>
    <w:family w:val="roman"/>
    <w:pitch w:val="variable"/>
  </w:font>
  <w:font w:name="Liberation Sans">
    <w:altName w:val="Arial"/>
    <w:charset w:val="01"/>
    <w:family w:val="swiss"/>
    <w:pitch w:val="variable"/>
  </w:font>
  <w:font w:name="Noto Serif">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2">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embedSystemFonts/>
  <w:defaultTabStop w:val="720"/>
  <w:autoHyphenation w:val="true"/>
  <w:hyphenationZone w:val="0"/>
  <w:compat>
    <w:compatSetting w:name="compatibilityMode" w:uri="http://schemas.microsoft.com/office/word" w:val="12"/>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 w:cs="" w:asciiTheme="minorHAnsi" w:cstheme="minorBidi" w:eastAsiaTheme="minorEastAsia" w:hAnsiTheme="minorHAnsi"/>
        <w:sz w:val="24"/>
        <w:szCs w:val="24"/>
        <w:lang w:val="en-US" w:eastAsia="zh-CN" w:bidi="ar-SA"/>
      </w:rPr>
    </w:rPrDefault>
    <w:pPrDefault>
      <w:pPr>
        <w:suppressAutoHyphens w:val="true"/>
      </w:pPr>
    </w:pPrDefault>
  </w:docDefaults>
  <w:latentStyles w:defLockedState="0" w:defUIPriority="0" w:defSemiHidden="0" w:defUnhideWhenUsed="0" w:defQFormat="0" w:count="276"/>
  <w:style w:type="paragraph" w:styleId="Normal" w:default="1">
    <w:name w:val="Normal"/>
    <w:qFormat/>
    <w:pPr>
      <w:widowControl/>
      <w:bidi w:val="0"/>
      <w:spacing w:before="0" w:after="200"/>
      <w:jc w:val="left"/>
    </w:pPr>
    <w:rPr>
      <w:rFonts w:ascii="Aptos" w:hAnsi="Aptos" w:eastAsia="" w:cs="" w:asciiTheme="minorHAnsi" w:cstheme="minorBidi" w:eastAsiaTheme="minorEastAsia" w:hAnsiTheme="minorHAnsi"/>
      <w:color w:val="auto"/>
      <w:kern w:val="0"/>
      <w:sz w:val="24"/>
      <w:szCs w:val="24"/>
      <w:lang w:val="en-US" w:eastAsia="zh-CN" w:bidi="ar-SA"/>
    </w:rPr>
  </w:style>
  <w:style w:type="paragraph" w:styleId="Heading1">
    <w:name w:val="heading 1"/>
    <w:basedOn w:val="Normal"/>
    <w:next w:val="BodyText"/>
    <w:link w:val="Heading1Char"/>
    <w:uiPriority w:val="9"/>
    <w:qFormat/>
    <w:rsid w:val="00a10fd9"/>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BodyText"/>
    <w:link w:val="Heading2Char"/>
    <w:uiPriority w:val="9"/>
    <w:semiHidden/>
    <w:unhideWhenUsed/>
    <w:qFormat/>
    <w:rsid w:val="00a10fd9"/>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BodyText"/>
    <w:link w:val="Heading3Char"/>
    <w:uiPriority w:val="9"/>
    <w:semiHidden/>
    <w:unhideWhenUsed/>
    <w:qFormat/>
    <w:rsid w:val="00a10fd9"/>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BodyText"/>
    <w:link w:val="Heading4Char"/>
    <w:uiPriority w:val="9"/>
    <w:semiHidden/>
    <w:unhideWhenUsed/>
    <w:qFormat/>
    <w:rsid w:val="00a10fd9"/>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BodyText"/>
    <w:link w:val="Heading5Char"/>
    <w:uiPriority w:val="9"/>
    <w:semiHidden/>
    <w:unhideWhenUsed/>
    <w:qFormat/>
    <w:rsid w:val="00a10fd9"/>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BodyText"/>
    <w:link w:val="Heading6Char"/>
    <w:uiPriority w:val="9"/>
    <w:semiHidden/>
    <w:unhideWhenUsed/>
    <w:qFormat/>
    <w:rsid w:val="00a10fd9"/>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BodyText"/>
    <w:link w:val="Heading7Char"/>
    <w:uiPriority w:val="9"/>
    <w:semiHidden/>
    <w:unhideWhenUsed/>
    <w:qFormat/>
    <w:rsid w:val="00a10fd9"/>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BodyText"/>
    <w:link w:val="Heading8Char"/>
    <w:uiPriority w:val="9"/>
    <w:semiHidden/>
    <w:unhideWhenUsed/>
    <w:qFormat/>
    <w:rsid w:val="00a10fd9"/>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BodyText"/>
    <w:link w:val="Heading9Char"/>
    <w:uiPriority w:val="9"/>
    <w:semiHidden/>
    <w:unhideWhenUsed/>
    <w:qFormat/>
    <w:rsid w:val="00a10fd9"/>
    <w:pPr>
      <w:keepNext w:val="true"/>
      <w:keepLines/>
      <w:spacing w:before="0" w:after="0"/>
      <w:outlineLvl w:val="8"/>
    </w:pPr>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a10fd9"/>
    <w:rPr>
      <w:rFonts w:ascii="Aptos Display" w:hAnsi="Aptos Display" w:eastAsia="" w:cs="" w:asciiTheme="majorHAnsi" w:cstheme="majorBidi" w:eastAsiaTheme="majorEastAsia" w:hAnsiTheme="majorHAnsi"/>
      <w:sz w:val="56"/>
      <w:szCs w:val="56"/>
    </w:rPr>
  </w:style>
  <w:style w:type="character" w:styleId="SubtitleChar" w:customStyle="1">
    <w:name w:val="Subtitle Char"/>
    <w:basedOn w:val="DefaultParagraphFont"/>
    <w:link w:val="Subtitle"/>
    <w:uiPriority w:val="11"/>
    <w:qFormat/>
    <w:rsid w:val="00a10fd9"/>
    <w:rPr>
      <w:rFonts w:eastAsia="" w:cs="" w:cstheme="majorBidi" w:eastAsiaTheme="majorEastAsia"/>
      <w:color w:themeColor="text1" w:themeTint="a6" w:val="595959"/>
      <w:spacing w:val="15"/>
      <w:sz w:val="28"/>
      <w:szCs w:val="28"/>
    </w:rPr>
  </w:style>
  <w:style w:type="character" w:styleId="Heading1Char" w:customStyle="1">
    <w:name w:val="Heading 1 Char"/>
    <w:basedOn w:val="DefaultParagraphFont"/>
    <w:link w:val="Heading1"/>
    <w:uiPriority w:val="9"/>
    <w:qFormat/>
    <w:rsid w:val="00a10fd9"/>
    <w:rPr>
      <w:rFonts w:ascii="Aptos Display" w:hAnsi="Aptos Display" w:eastAsia="" w:cs="" w:asciiTheme="majorHAnsi" w:cstheme="majorBidi" w:eastAsiaTheme="majorEastAsia" w:hAnsiTheme="majorHAnsi"/>
      <w:color w:themeColor="accent1" w:themeShade="bf" w:val="0F4761"/>
      <w:sz w:val="40"/>
      <w:szCs w:val="40"/>
    </w:rPr>
  </w:style>
  <w:style w:type="character" w:styleId="Heading2Char" w:customStyle="1">
    <w:name w:val="Heading 2 Char"/>
    <w:basedOn w:val="DefaultParagraphFont"/>
    <w:link w:val="Heading2"/>
    <w:uiPriority w:val="9"/>
    <w:semiHidden/>
    <w:qFormat/>
    <w:rsid w:val="00a10fd9"/>
    <w:rPr>
      <w:rFonts w:ascii="Aptos Display" w:hAnsi="Aptos Display" w:eastAsia="" w:cs="" w:asciiTheme="majorHAnsi" w:cstheme="majorBidi" w:eastAsiaTheme="majorEastAsia" w:hAnsiTheme="majorHAnsi"/>
      <w:color w:themeColor="accent1" w:themeShade="bf" w:val="0F4761"/>
      <w:sz w:val="32"/>
      <w:szCs w:val="32"/>
    </w:rPr>
  </w:style>
  <w:style w:type="character" w:styleId="Heading3Char" w:customStyle="1">
    <w:name w:val="Heading 3 Char"/>
    <w:basedOn w:val="DefaultParagraphFont"/>
    <w:link w:val="Heading3"/>
    <w:uiPriority w:val="9"/>
    <w:semiHidden/>
    <w:qFormat/>
    <w:rsid w:val="00a10fd9"/>
    <w:rPr>
      <w:rFonts w:eastAsia="" w:cs="" w:cstheme="majorBidi" w:eastAsiaTheme="majorEastAsia"/>
      <w:color w:themeColor="accent1" w:themeShade="bf" w:val="0F4761"/>
      <w:sz w:val="28"/>
      <w:szCs w:val="28"/>
    </w:rPr>
  </w:style>
  <w:style w:type="character" w:styleId="Heading4Char" w:customStyle="1">
    <w:name w:val="Heading 4 Char"/>
    <w:basedOn w:val="DefaultParagraphFont"/>
    <w:link w:val="Heading4"/>
    <w:uiPriority w:val="9"/>
    <w:semiHidden/>
    <w:qFormat/>
    <w:rsid w:val="00a10fd9"/>
    <w:rPr>
      <w:rFonts w:eastAsia="" w:cs="" w:cstheme="majorBidi" w:eastAsiaTheme="majorEastAsia"/>
      <w:i/>
      <w:iCs/>
      <w:color w:themeColor="accent1" w:themeShade="bf" w:val="0F4761"/>
    </w:rPr>
  </w:style>
  <w:style w:type="character" w:styleId="Heading5Char" w:customStyle="1">
    <w:name w:val="Heading 5 Char"/>
    <w:basedOn w:val="DefaultParagraphFont"/>
    <w:link w:val="Heading5"/>
    <w:uiPriority w:val="9"/>
    <w:semiHidden/>
    <w:qFormat/>
    <w:rsid w:val="00a10fd9"/>
    <w:rPr>
      <w:rFonts w:eastAsia="" w:cs="" w:cstheme="majorBidi" w:eastAsiaTheme="majorEastAsia"/>
      <w:color w:themeColor="accent1" w:themeShade="bf" w:val="0F4761"/>
    </w:rPr>
  </w:style>
  <w:style w:type="character" w:styleId="Heading6Char" w:customStyle="1">
    <w:name w:val="Heading 6 Char"/>
    <w:basedOn w:val="DefaultParagraphFont"/>
    <w:link w:val="Heading6"/>
    <w:uiPriority w:val="9"/>
    <w:semiHidden/>
    <w:qFormat/>
    <w:rsid w:val="00a10fd9"/>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a10fd9"/>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a10fd9"/>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a10fd9"/>
    <w:rPr>
      <w:rFonts w:eastAsia="" w:cs="" w:cstheme="majorBidi" w:eastAsiaTheme="majorEastAsia"/>
      <w:color w:themeColor="text1" w:themeTint="d8" w:val="272727"/>
    </w:rPr>
  </w:style>
  <w:style w:type="character" w:styleId="DefaultParagraphFont" w:default="1">
    <w:name w:val="Default Paragraph Font"/>
    <w:semiHidden/>
    <w:unhideWhenUsed/>
    <w:qFormat/>
    <w:rPr/>
  </w:style>
  <w:style w:type="character" w:styleId="BodyTextChar" w:customStyle="1">
    <w:name w:val="Body Text Char"/>
    <w:basedOn w:val="DefaultParagraphFont"/>
    <w:qFormat/>
    <w:rPr/>
  </w:style>
  <w:style w:type="character" w:styleId="VerbatimChar" w:customStyle="1">
    <w:name w:val="Verbatim Char"/>
    <w:basedOn w:val="BodyTextChar"/>
    <w:qFormat/>
    <w:rPr>
      <w:rFonts w:ascii="Consolas" w:hAnsi="Consolas"/>
      <w:sz w:val="22"/>
    </w:rPr>
  </w:style>
  <w:style w:type="character" w:styleId="SectionNumber" w:customStyle="1">
    <w:name w:val="Section Number"/>
    <w:basedOn w:val="BodyTextChar"/>
    <w:qFormat/>
    <w:rPr/>
  </w:style>
  <w:style w:type="character" w:styleId="FootnoteCharacters">
    <w:name w:val="Footnote Characters"/>
    <w:basedOn w:val="BodyTextChar"/>
    <w:qFormat/>
    <w:rPr>
      <w:vertAlign w:val="superscript"/>
    </w:rPr>
  </w:style>
  <w:style w:type="character" w:styleId="FootnoteReference">
    <w:name w:val="footnote reference"/>
    <w:rPr>
      <w:vertAlign w:val="superscript"/>
    </w:rPr>
  </w:style>
  <w:style w:type="character" w:styleId="Hyperlink">
    <w:name w:val="Hyperlink"/>
    <w:basedOn w:val="BodyTextChar"/>
    <w:rPr>
      <w:color w:themeColor="accent1" w:val="4F81BD"/>
    </w:rPr>
  </w:style>
  <w:style w:type="character" w:styleId="KeywordTok" w:customStyle="1">
    <w:name w:val="KeywordTok"/>
    <w:basedOn w:val="VerbatimChar"/>
    <w:qFormat/>
    <w:rPr>
      <w:b/>
      <w:color w:val="007020"/>
    </w:rPr>
  </w:style>
  <w:style w:type="character" w:styleId="DataTypeTok" w:customStyle="1">
    <w:name w:val="DataTypeTok"/>
    <w:basedOn w:val="VerbatimChar"/>
    <w:qFormat/>
    <w:rPr>
      <w:color w:val="902000"/>
    </w:rPr>
  </w:style>
  <w:style w:type="character" w:styleId="DecValTok" w:customStyle="1">
    <w:name w:val="DecValTok"/>
    <w:basedOn w:val="VerbatimChar"/>
    <w:qFormat/>
    <w:rPr>
      <w:color w:val="40A070"/>
    </w:rPr>
  </w:style>
  <w:style w:type="character" w:styleId="BaseNTok" w:customStyle="1">
    <w:name w:val="BaseNTok"/>
    <w:basedOn w:val="VerbatimChar"/>
    <w:qFormat/>
    <w:rPr>
      <w:color w:val="40A070"/>
    </w:rPr>
  </w:style>
  <w:style w:type="character" w:styleId="FloatTok" w:customStyle="1">
    <w:name w:val="FloatTok"/>
    <w:basedOn w:val="VerbatimChar"/>
    <w:qFormat/>
    <w:rPr>
      <w:color w:val="40A070"/>
    </w:rPr>
  </w:style>
  <w:style w:type="character" w:styleId="ConstantTok" w:customStyle="1">
    <w:name w:val="ConstantTok"/>
    <w:basedOn w:val="VerbatimChar"/>
    <w:qFormat/>
    <w:rPr>
      <w:color w:val="880000"/>
    </w:rPr>
  </w:style>
  <w:style w:type="character" w:styleId="CharTok" w:customStyle="1">
    <w:name w:val="CharTok"/>
    <w:basedOn w:val="VerbatimChar"/>
    <w:qFormat/>
    <w:rPr>
      <w:color w:val="4070A0"/>
    </w:rPr>
  </w:style>
  <w:style w:type="character" w:styleId="SpecialCharTok" w:customStyle="1">
    <w:name w:val="SpecialCharTok"/>
    <w:basedOn w:val="VerbatimChar"/>
    <w:qFormat/>
    <w:rPr>
      <w:color w:val="4070A0"/>
    </w:rPr>
  </w:style>
  <w:style w:type="character" w:styleId="StringTok" w:customStyle="1">
    <w:name w:val="StringTok"/>
    <w:basedOn w:val="VerbatimChar"/>
    <w:qFormat/>
    <w:rPr>
      <w:color w:val="4070A0"/>
    </w:rPr>
  </w:style>
  <w:style w:type="character" w:styleId="VerbatimStringTok" w:customStyle="1">
    <w:name w:val="VerbatimStringTok"/>
    <w:basedOn w:val="VerbatimChar"/>
    <w:qFormat/>
    <w:rPr>
      <w:color w:val="4070A0"/>
    </w:rPr>
  </w:style>
  <w:style w:type="character" w:styleId="SpecialStringTok" w:customStyle="1">
    <w:name w:val="SpecialStringTok"/>
    <w:basedOn w:val="VerbatimChar"/>
    <w:qFormat/>
    <w:rPr>
      <w:color w:val="BB6688"/>
    </w:rPr>
  </w:style>
  <w:style w:type="character" w:styleId="ImportTok" w:customStyle="1">
    <w:name w:val="ImportTok"/>
    <w:basedOn w:val="VerbatimChar"/>
    <w:qFormat/>
    <w:rPr>
      <w:b/>
      <w:color w:val="008000"/>
    </w:rPr>
  </w:style>
  <w:style w:type="character" w:styleId="CommentTok" w:customStyle="1">
    <w:name w:val="CommentTok"/>
    <w:basedOn w:val="VerbatimChar"/>
    <w:qFormat/>
    <w:rPr>
      <w:i/>
      <w:color w:val="60A0B0"/>
    </w:rPr>
  </w:style>
  <w:style w:type="character" w:styleId="DocumentationTok" w:customStyle="1">
    <w:name w:val="DocumentationTok"/>
    <w:basedOn w:val="VerbatimChar"/>
    <w:qFormat/>
    <w:rPr>
      <w:i/>
      <w:color w:val="BA2121"/>
    </w:rPr>
  </w:style>
  <w:style w:type="character" w:styleId="AnnotationTok" w:customStyle="1">
    <w:name w:val="AnnotationTok"/>
    <w:basedOn w:val="VerbatimChar"/>
    <w:qFormat/>
    <w:rPr>
      <w:b/>
      <w:i/>
      <w:color w:val="60A0B0"/>
    </w:rPr>
  </w:style>
  <w:style w:type="character" w:styleId="CommentVarTok" w:customStyle="1">
    <w:name w:val="CommentVarTok"/>
    <w:basedOn w:val="VerbatimChar"/>
    <w:qFormat/>
    <w:rPr>
      <w:b/>
      <w:i/>
      <w:color w:val="60A0B0"/>
    </w:rPr>
  </w:style>
  <w:style w:type="character" w:styleId="OtherTok" w:customStyle="1">
    <w:name w:val="OtherTok"/>
    <w:basedOn w:val="VerbatimChar"/>
    <w:qFormat/>
    <w:rPr>
      <w:color w:val="007020"/>
    </w:rPr>
  </w:style>
  <w:style w:type="character" w:styleId="FunctionTok" w:customStyle="1">
    <w:name w:val="FunctionTok"/>
    <w:basedOn w:val="VerbatimChar"/>
    <w:qFormat/>
    <w:rPr>
      <w:color w:val="06287E"/>
    </w:rPr>
  </w:style>
  <w:style w:type="character" w:styleId="VariableTok" w:customStyle="1">
    <w:name w:val="VariableTok"/>
    <w:basedOn w:val="VerbatimChar"/>
    <w:qFormat/>
    <w:rPr>
      <w:color w:val="19177C"/>
    </w:rPr>
  </w:style>
  <w:style w:type="character" w:styleId="ControlFlowTok" w:customStyle="1">
    <w:name w:val="ControlFlowTok"/>
    <w:basedOn w:val="VerbatimChar"/>
    <w:qFormat/>
    <w:rPr>
      <w:b/>
      <w:color w:val="007020"/>
    </w:rPr>
  </w:style>
  <w:style w:type="character" w:styleId="OperatorTok" w:customStyle="1">
    <w:name w:val="OperatorTok"/>
    <w:basedOn w:val="VerbatimChar"/>
    <w:qFormat/>
    <w:rPr>
      <w:color w:val="666666"/>
    </w:rPr>
  </w:style>
  <w:style w:type="character" w:styleId="BuiltInTok" w:customStyle="1">
    <w:name w:val="BuiltInTok"/>
    <w:basedOn w:val="VerbatimChar"/>
    <w:qFormat/>
    <w:rPr>
      <w:color w:val="008000"/>
    </w:rPr>
  </w:style>
  <w:style w:type="character" w:styleId="ExtensionTok" w:customStyle="1">
    <w:name w:val="ExtensionTok"/>
    <w:basedOn w:val="VerbatimChar"/>
    <w:qFormat/>
    <w:rPr/>
  </w:style>
  <w:style w:type="character" w:styleId="PreprocessorTok" w:customStyle="1">
    <w:name w:val="PreprocessorTok"/>
    <w:basedOn w:val="VerbatimChar"/>
    <w:qFormat/>
    <w:rPr>
      <w:color w:val="BC7A00"/>
    </w:rPr>
  </w:style>
  <w:style w:type="character" w:styleId="AttributeTok" w:customStyle="1">
    <w:name w:val="AttributeTok"/>
    <w:basedOn w:val="VerbatimChar"/>
    <w:qFormat/>
    <w:rPr>
      <w:color w:val="7D9029"/>
    </w:rPr>
  </w:style>
  <w:style w:type="character" w:styleId="RegionMarkerTok" w:customStyle="1">
    <w:name w:val="RegionMarkerTok"/>
    <w:basedOn w:val="VerbatimChar"/>
    <w:qFormat/>
    <w:rPr/>
  </w:style>
  <w:style w:type="character" w:styleId="InformationTok" w:customStyle="1">
    <w:name w:val="InformationTok"/>
    <w:basedOn w:val="VerbatimChar"/>
    <w:qFormat/>
    <w:rPr>
      <w:b/>
      <w:i/>
      <w:color w:val="60A0B0"/>
    </w:rPr>
  </w:style>
  <w:style w:type="character" w:styleId="WarningTok" w:customStyle="1">
    <w:name w:val="WarningTok"/>
    <w:basedOn w:val="VerbatimChar"/>
    <w:qFormat/>
    <w:rPr>
      <w:b/>
      <w:i/>
      <w:color w:val="60A0B0"/>
    </w:rPr>
  </w:style>
  <w:style w:type="character" w:styleId="AlertTok" w:customStyle="1">
    <w:name w:val="AlertTok"/>
    <w:basedOn w:val="VerbatimChar"/>
    <w:qFormat/>
    <w:rPr>
      <w:b/>
      <w:color w:val="FF0000"/>
    </w:rPr>
  </w:style>
  <w:style w:type="character" w:styleId="ErrorTok" w:customStyle="1">
    <w:name w:val="ErrorTok"/>
    <w:basedOn w:val="VerbatimChar"/>
    <w:qFormat/>
    <w:rPr>
      <w:b/>
      <w:color w:val="FF0000"/>
    </w:rPr>
  </w:style>
  <w:style w:type="character" w:styleId="NormalTok" w:customStyle="1">
    <w:name w:val="NormalTok"/>
    <w:basedOn w:val="VerbatimChar"/>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qFormat/>
    <w:pPr>
      <w:spacing w:before="180" w:after="180"/>
    </w:pPr>
    <w:rPr>
      <w:rFonts w:ascii="Noto Serif" w:hAnsi="Noto Serif"/>
    </w:rPr>
  </w:style>
  <w:style w:type="paragraph" w:styleId="List">
    <w:name w:val="List"/>
    <w:basedOn w:val="BodyText"/>
    <w:pPr/>
    <w:rPr>
      <w:rFonts w:cs="Noto Sans Devanagari"/>
    </w:rPr>
  </w:style>
  <w:style w:type="paragraph" w:styleId="Caption">
    <w:name w:val="caption"/>
    <w:basedOn w:val="Normal"/>
    <w:link w:val="BodyTextChar"/>
    <w:qFormat/>
    <w:pPr>
      <w:spacing w:before="0" w:after="120"/>
    </w:pPr>
    <w:rPr>
      <w:i/>
    </w:rPr>
  </w:style>
  <w:style w:type="paragraph" w:styleId="Index">
    <w:name w:val="Index"/>
    <w:basedOn w:val="Normal"/>
    <w:qFormat/>
    <w:pPr>
      <w:suppressLineNumbers/>
    </w:pPr>
    <w:rPr>
      <w:rFonts w:cs="Noto Sans Devanagari"/>
    </w:rPr>
  </w:style>
  <w:style w:type="paragraph" w:styleId="FirstParagraph" w:customStyle="1">
    <w:name w:val="First Paragraph"/>
    <w:basedOn w:val="BodyText"/>
    <w:next w:val="BodyText"/>
    <w:qFormat/>
    <w:pPr/>
    <w:rPr/>
  </w:style>
  <w:style w:type="paragraph" w:styleId="Compact" w:customStyle="1">
    <w:name w:val="Compact"/>
    <w:basedOn w:val="BodyText"/>
    <w:qFormat/>
    <w:pPr>
      <w:spacing w:before="36" w:after="36"/>
    </w:pPr>
    <w:rPr/>
  </w:style>
  <w:style w:type="paragraph" w:styleId="Title">
    <w:name w:val="Title"/>
    <w:basedOn w:val="Normal"/>
    <w:next w:val="BodyText"/>
    <w:link w:val="TitleChar"/>
    <w:uiPriority w:val="10"/>
    <w:qFormat/>
    <w:rsid w:val="00a10fd9"/>
    <w:pPr>
      <w:spacing w:lineRule="auto" w:line="240" w:before="0" w:after="80"/>
      <w:contextualSpacing/>
      <w:jc w:val="center"/>
    </w:pPr>
    <w:rPr>
      <w:rFonts w:ascii="Aptos Display" w:hAnsi="Aptos Display" w:eastAsia="" w:cs="" w:asciiTheme="majorHAnsi" w:cstheme="majorBidi" w:eastAsiaTheme="majorEastAsia" w:hAnsiTheme="majorHAnsi"/>
      <w:sz w:val="56"/>
      <w:szCs w:val="56"/>
    </w:rPr>
  </w:style>
  <w:style w:type="paragraph" w:styleId="Subtitle">
    <w:name w:val="Subtitle"/>
    <w:basedOn w:val="Title"/>
    <w:next w:val="BodyText"/>
    <w:link w:val="SubtitleChar"/>
    <w:uiPriority w:val="11"/>
    <w:qFormat/>
    <w:rsid w:val="00a10fd9"/>
    <w:pPr/>
    <w:rPr>
      <w:rFonts w:eastAsia="" w:cs="" w:cstheme="majorBidi" w:eastAsiaTheme="majorEastAsia"/>
      <w:spacing w:val="15"/>
      <w:sz w:val="28"/>
      <w:szCs w:val="28"/>
    </w:rPr>
  </w:style>
  <w:style w:type="paragraph" w:styleId="Author" w:customStyle="1">
    <w:name w:val="Author"/>
    <w:basedOn w:val="Title"/>
    <w:next w:val="BodyText"/>
    <w:qFormat/>
    <w:pPr>
      <w:keepNext w:val="true"/>
      <w:keepLines/>
    </w:pPr>
    <w:rPr>
      <w:sz w:val="24"/>
      <w:szCs w:val="24"/>
    </w:rPr>
  </w:style>
  <w:style w:type="paragraph" w:styleId="Date">
    <w:name w:val="Date"/>
    <w:basedOn w:val="Title"/>
    <w:next w:val="BodyText"/>
    <w:qFormat/>
    <w:pPr>
      <w:keepNext w:val="true"/>
      <w:keepLines/>
    </w:pPr>
    <w:rPr>
      <w:sz w:val="24"/>
      <w:szCs w:val="24"/>
    </w:rPr>
  </w:style>
  <w:style w:type="paragraph" w:styleId="AbstractTitle" w:customStyle="1">
    <w:name w:val="Abstract Title"/>
    <w:basedOn w:val="Normal"/>
    <w:next w:val="Abstract"/>
    <w:qFormat/>
    <w:pPr>
      <w:keepNext w:val="true"/>
      <w:keepLines/>
      <w:spacing w:before="300" w:after="0"/>
      <w:jc w:val="center"/>
    </w:pPr>
    <w:rPr>
      <w:b/>
      <w:sz w:val="20"/>
      <w:szCs w:val="20"/>
    </w:rPr>
  </w:style>
  <w:style w:type="paragraph" w:styleId="Abstract" w:customStyle="1">
    <w:name w:val="Abstract"/>
    <w:basedOn w:val="Normal"/>
    <w:next w:val="BodyText"/>
    <w:qFormat/>
    <w:pPr>
      <w:keepNext w:val="true"/>
      <w:keepLines/>
      <w:spacing w:before="100" w:after="300"/>
    </w:pPr>
    <w:rPr>
      <w:sz w:val="20"/>
      <w:szCs w:val="20"/>
    </w:rPr>
  </w:style>
  <w:style w:type="paragraph" w:styleId="Bibliography">
    <w:name w:val="Bibliography"/>
    <w:basedOn w:val="Normal"/>
    <w:qFormat/>
    <w:pPr/>
    <w:rPr/>
  </w:style>
  <w:style w:type="paragraph" w:styleId="BlockText">
    <w:name w:val="Block Text"/>
    <w:basedOn w:val="BodyText"/>
    <w:next w:val="BodyText"/>
    <w:uiPriority w:val="9"/>
    <w:unhideWhenUsed/>
    <w:qFormat/>
    <w:pPr>
      <w:spacing w:before="100" w:after="100"/>
      <w:ind w:hanging="0" w:left="480" w:right="480"/>
    </w:pPr>
    <w:rPr/>
  </w:style>
  <w:style w:type="paragraph" w:styleId="FootnoteText">
    <w:name w:val="footnote text"/>
    <w:basedOn w:val="Normal"/>
    <w:uiPriority w:val="9"/>
    <w:unhideWhenUsed/>
    <w:qFormat/>
    <w:pPr/>
    <w:rPr/>
  </w:style>
  <w:style w:type="paragraph" w:styleId="FootnoteBlockText">
    <w:name w:val="Footnote Block Text"/>
    <w:basedOn w:val="FootnoteText"/>
    <w:next w:val="FootnoteText"/>
    <w:uiPriority w:val="9"/>
    <w:unhideWhenUsed/>
    <w:qFormat/>
    <w:pPr>
      <w:spacing w:before="100" w:after="100"/>
      <w:ind w:hanging="0" w:left="480" w:right="480"/>
    </w:pPr>
    <w:rPr/>
  </w:style>
  <w:style w:type="paragraph" w:styleId="DefinitionTerm" w:customStyle="1">
    <w:name w:val="Definition Term"/>
    <w:basedOn w:val="Normal"/>
    <w:next w:val="Definition"/>
    <w:qFormat/>
    <w:pPr>
      <w:keepNext w:val="true"/>
      <w:keepLines/>
      <w:spacing w:before="0" w:after="0"/>
    </w:pPr>
    <w:rPr>
      <w:b/>
    </w:rPr>
  </w:style>
  <w:style w:type="paragraph" w:styleId="Definition" w:customStyle="1">
    <w:name w:val="Definition"/>
    <w:basedOn w:val="Normal"/>
    <w:qFormat/>
    <w:pPr/>
    <w:rPr/>
  </w:style>
  <w:style w:type="paragraph" w:styleId="TableCaption" w:customStyle="1">
    <w:name w:val="Table Caption"/>
    <w:basedOn w:val="Caption"/>
    <w:qFormat/>
    <w:pPr>
      <w:keepNext w:val="true"/>
    </w:pPr>
    <w:rPr/>
  </w:style>
  <w:style w:type="paragraph" w:styleId="ImageCaption" w:customStyle="1">
    <w:name w:val="Image Caption"/>
    <w:basedOn w:val="Caption"/>
    <w:qFormat/>
    <w:pPr/>
    <w:rPr/>
  </w:style>
  <w:style w:type="paragraph" w:styleId="Figure" w:customStyle="1">
    <w:name w:val="Figure"/>
    <w:basedOn w:val="Normal"/>
    <w:qFormat/>
    <w:pPr/>
    <w:rPr/>
  </w:style>
  <w:style w:type="paragraph" w:styleId="CaptionedFigure" w:customStyle="1">
    <w:name w:val="Captioned Figure"/>
    <w:basedOn w:val="Figure"/>
    <w:qFormat/>
    <w:pPr>
      <w:keepNext w:val="true"/>
    </w:pPr>
    <w:rPr/>
  </w:style>
  <w:style w:type="paragraph" w:styleId="IndexHeading">
    <w:name w:val="index heading"/>
    <w:basedOn w:val="Heading"/>
    <w:pPr/>
    <w:rPr/>
  </w:style>
  <w:style w:type="paragraph" w:styleId="TOCHeading">
    <w:name w:val="TOC Heading"/>
    <w:basedOn w:val="Heading1"/>
    <w:next w:val="BodyText"/>
    <w:uiPriority w:val="39"/>
    <w:unhideWhenUsed/>
    <w:qFormat/>
    <w:pPr>
      <w:spacing w:lineRule="auto" w:line="259" w:before="240" w:after="80"/>
      <w:outlineLvl w:val="9"/>
    </w:pPr>
    <w:rPr>
      <w:rFonts w:ascii="Aptos Display" w:hAnsi="Aptos Display" w:eastAsia="" w:cs="" w:asciiTheme="majorHAnsi" w:cstheme="majorBidi" w:eastAsiaTheme="majorEastAsia" w:hAnsiTheme="majorHAnsi"/>
      <w:b w:val="false"/>
      <w:bCs w:val="false"/>
      <w:color w:themeColor="accent1" w:themeShade="bf" w:val="365F91"/>
    </w:rPr>
  </w:style>
  <w:style w:type="paragraph" w:styleId="SourceCode" w:customStyle="1">
    <w:name w:val="Source Code"/>
    <w:basedOn w:val="Normal"/>
    <w:link w:val="VerbatimChar"/>
    <w:qFormat/>
    <w:pPr/>
    <w:rPr/>
  </w:style>
  <w:style w:type="paragraph" w:styleId="TableContents">
    <w:name w:val="Table Contents"/>
    <w:basedOn w:val="Normal"/>
    <w:qFormat/>
    <w:pPr>
      <w:widowControl w:val="false"/>
      <w:suppressLineNumbers/>
    </w:pPr>
    <w:rPr>
      <w:rFonts w:ascii="Noto Serif" w:hAnsi="Noto Serif"/>
    </w:rPr>
  </w:style>
  <w:style w:type="table" w:default="1" w:styleId="Table">
    <w:name w:val="Table"/>
    <w:basedOn w:val="TableNormal"/>
    <w:semiHidden/>
    <w:unhideWhenUsed/>
    <w:qFormat/>
    <w:tblPr>
      <w:tblCellMar>
        <w:top w:w="0" w:type="dxa"/>
        <w:left w:w="108" w:type="dxa"/>
        <w:bottom w:w="0" w:type="dxa"/>
        <w:right w:w="108" w:type="dxa"/>
      </w:tblCellMar>
    </w:tblPr>
    <w:tblStylePr w:type="firstRow">
      <w:tblPr/>
      <w:tcPr>
        <w:tcBorders>
          <w:bottom w:val="single"/>
        </w:tcBorders>
        <w:vAlign w:val="bottom"/>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20</TotalTime>
  <Application>LibreOffice/25.8.4.2$Linux_X86_64 LibreOffice_project/580$Build-2</Application>
  <AppVersion>15.0000</AppVersion>
  <Pages>5</Pages>
  <Words>905</Words>
  <Characters>5375</Characters>
  <CharactersWithSpaces>6061</CharactersWithSpaces>
  <Paragraphs>220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2026-01-30T05:52:02Z</dcterms:created>
  <dc:creator/>
  <dc:description/>
  <dc:language>en-US</dc:language>
  <cp:lastModifiedBy>David Adams</cp:lastModifiedBy>
  <dcterms:modified xsi:type="dcterms:W3CDTF">2026-01-29T22:08:37Z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