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5EE46" w14:textId="77777777" w:rsidR="00500C0B" w:rsidRPr="00CC4E81" w:rsidRDefault="00ED02EB">
      <w:pPr>
        <w:spacing w:after="0" w:line="480" w:lineRule="auto"/>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Title:</w:t>
      </w:r>
      <w:r w:rsidRPr="00CC4E81">
        <w:rPr>
          <w:rFonts w:ascii="Times New Roman" w:eastAsia="Garamond" w:hAnsi="Times New Roman" w:cs="Times New Roman"/>
          <w:sz w:val="24"/>
          <w:szCs w:val="24"/>
          <w14:ligatures w14:val="standard"/>
        </w:rPr>
        <w:t xml:space="preserve"> Does Disclosure Matter? Coupling Information to Performance in Texas</w:t>
      </w:r>
    </w:p>
    <w:p w14:paraId="09C2BDB0" w14:textId="0538F9F7" w:rsidR="00500C0B" w:rsidRPr="00CC4E81" w:rsidRDefault="00ED02EB">
      <w:pPr>
        <w:spacing w:after="0" w:line="480" w:lineRule="auto"/>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 xml:space="preserve">Abstract: </w:t>
      </w:r>
      <w:r w:rsidRPr="00CC4E81">
        <w:rPr>
          <w:rFonts w:ascii="Times New Roman" w:eastAsia="Garamond" w:hAnsi="Times New Roman" w:cs="Times New Roman"/>
          <w:sz w:val="24"/>
          <w:szCs w:val="24"/>
          <w14:ligatures w14:val="standard"/>
        </w:rPr>
        <w:t xml:space="preserve">Policy scholars have explored various policy instruments to understand how states work towards multiple goals. However, little attention has been given to the enforcement of these policies, especially as it relates to how changes relative to the disclosure of information </w:t>
      </w:r>
      <w:r w:rsidR="00975D4D" w:rsidRPr="00CC4E81">
        <w:rPr>
          <w:rFonts w:ascii="Times New Roman" w:eastAsia="Garamond" w:hAnsi="Times New Roman" w:cs="Times New Roman"/>
          <w:sz w:val="24"/>
          <w:szCs w:val="24"/>
          <w14:ligatures w14:val="standard"/>
        </w:rPr>
        <w:t xml:space="preserve">impact </w:t>
      </w:r>
      <w:r w:rsidRPr="00CC4E81">
        <w:rPr>
          <w:rFonts w:ascii="Times New Roman" w:eastAsia="Garamond" w:hAnsi="Times New Roman" w:cs="Times New Roman"/>
          <w:sz w:val="24"/>
          <w:szCs w:val="24"/>
          <w14:ligatures w14:val="standard"/>
        </w:rPr>
        <w:t xml:space="preserve">policy enforcement and performance. Enforcement, like rule formulation and adoption, involves complex regulatory processes, political dimensions, and potential place-based disputes. Even within one state, enforcement varies significantly over time and across regions due to differences in exigency, staffing, and resources. Addressing this gap, our study focuses on a 2019 policy change in Texas that increased the disclosure of information via public access to information on the locations, frequencies, and results of oil and gas related inspections, violations, and administrative enforcement actions. In short, we ask, does information disclosure matter? Our </w:t>
      </w:r>
      <w:r w:rsidR="00975D4D" w:rsidRPr="00CC4E81">
        <w:rPr>
          <w:rFonts w:ascii="Times New Roman" w:eastAsia="Garamond" w:hAnsi="Times New Roman" w:cs="Times New Roman"/>
          <w:sz w:val="24"/>
          <w:szCs w:val="24"/>
          <w14:ligatures w14:val="standard"/>
        </w:rPr>
        <w:t xml:space="preserve">data </w:t>
      </w:r>
      <w:r w:rsidRPr="00CC4E81">
        <w:rPr>
          <w:rFonts w:ascii="Times New Roman" w:eastAsia="Garamond" w:hAnsi="Times New Roman" w:cs="Times New Roman"/>
          <w:sz w:val="24"/>
          <w:szCs w:val="24"/>
          <w14:ligatures w14:val="standard"/>
        </w:rPr>
        <w:t xml:space="preserve">reveal a nuanced </w:t>
      </w:r>
      <w:r w:rsidR="00975D4D" w:rsidRPr="00CC4E81">
        <w:rPr>
          <w:rFonts w:ascii="Times New Roman" w:eastAsia="Garamond" w:hAnsi="Times New Roman" w:cs="Times New Roman"/>
          <w:sz w:val="24"/>
          <w:szCs w:val="24"/>
          <w14:ligatures w14:val="standard"/>
        </w:rPr>
        <w:t>set of results</w:t>
      </w:r>
      <w:r w:rsidRPr="00CC4E81">
        <w:rPr>
          <w:rFonts w:ascii="Times New Roman" w:eastAsia="Garamond" w:hAnsi="Times New Roman" w:cs="Times New Roman"/>
          <w:sz w:val="24"/>
          <w:szCs w:val="24"/>
          <w14:ligatures w14:val="standard"/>
        </w:rPr>
        <w:t xml:space="preserve">: while greater disclosure appears to have contributed to a decrease in average monthly violations identified by inspectors, there was a notable increase in the number of enforcement actions taken by state regulators. </w:t>
      </w:r>
      <w:r w:rsidR="006455C2" w:rsidRPr="00CC4E81">
        <w:rPr>
          <w:rFonts w:ascii="Times New Roman" w:hAnsi="Times New Roman" w:cs="Times New Roman"/>
          <w:sz w:val="24"/>
          <w:szCs w:val="24"/>
        </w:rPr>
        <w:t>In short, results highlight the complex relationship among information, transparency, firm behavior, and state enforcement agencies.</w:t>
      </w:r>
    </w:p>
    <w:p w14:paraId="0EF3BCA4" w14:textId="77777777" w:rsidR="00500C0B" w:rsidRPr="00CC4E81" w:rsidRDefault="00500C0B">
      <w:pPr>
        <w:spacing w:after="0" w:line="480" w:lineRule="auto"/>
        <w:rPr>
          <w:rFonts w:ascii="Times New Roman" w:eastAsia="Garamond" w:hAnsi="Times New Roman" w:cs="Times New Roman"/>
          <w:sz w:val="24"/>
          <w:szCs w:val="24"/>
          <w14:ligatures w14:val="standard"/>
        </w:rPr>
      </w:pPr>
    </w:p>
    <w:p w14:paraId="37989FCB" w14:textId="77777777" w:rsidR="00500C0B" w:rsidRPr="00CC4E81" w:rsidRDefault="00500C0B">
      <w:pPr>
        <w:spacing w:after="0" w:line="480" w:lineRule="auto"/>
        <w:rPr>
          <w:rFonts w:ascii="Times New Roman" w:eastAsia="Garamond" w:hAnsi="Times New Roman" w:cs="Times New Roman"/>
          <w:sz w:val="24"/>
          <w:szCs w:val="24"/>
          <w14:ligatures w14:val="standard"/>
        </w:rPr>
      </w:pPr>
    </w:p>
    <w:p w14:paraId="7536FBC5" w14:textId="77777777" w:rsidR="00500C0B" w:rsidRPr="00CC4E81" w:rsidRDefault="00500C0B">
      <w:pPr>
        <w:widowControl w:val="0"/>
        <w:spacing w:after="0" w:line="480" w:lineRule="auto"/>
        <w:rPr>
          <w:rFonts w:ascii="Times New Roman" w:eastAsia="Garamond" w:hAnsi="Times New Roman" w:cs="Times New Roman"/>
          <w:b/>
          <w:bCs/>
          <w:sz w:val="24"/>
          <w:szCs w:val="24"/>
          <w14:ligatures w14:val="standard"/>
        </w:rPr>
      </w:pPr>
    </w:p>
    <w:p w14:paraId="5965AA47" w14:textId="77777777" w:rsidR="00500C0B" w:rsidRPr="00CC4E81" w:rsidRDefault="00500C0B">
      <w:pPr>
        <w:widowControl w:val="0"/>
        <w:spacing w:after="0" w:line="480" w:lineRule="auto"/>
        <w:rPr>
          <w:rFonts w:ascii="Times New Roman" w:eastAsia="Garamond" w:hAnsi="Times New Roman" w:cs="Times New Roman"/>
          <w:b/>
          <w:bCs/>
          <w:sz w:val="24"/>
          <w:szCs w:val="24"/>
          <w14:ligatures w14:val="standard"/>
        </w:rPr>
      </w:pPr>
    </w:p>
    <w:p w14:paraId="2C424D6C" w14:textId="77777777" w:rsidR="00500C0B" w:rsidRPr="00CC4E81" w:rsidRDefault="00500C0B">
      <w:pPr>
        <w:widowControl w:val="0"/>
        <w:spacing w:after="0" w:line="480" w:lineRule="auto"/>
        <w:rPr>
          <w:rFonts w:ascii="Times New Roman" w:eastAsia="Garamond" w:hAnsi="Times New Roman" w:cs="Times New Roman"/>
          <w:b/>
          <w:bCs/>
          <w:sz w:val="24"/>
          <w:szCs w:val="24"/>
          <w14:ligatures w14:val="standard"/>
        </w:rPr>
      </w:pPr>
    </w:p>
    <w:p w14:paraId="06A0E3BB" w14:textId="77777777" w:rsidR="00500C0B" w:rsidRPr="00CC4E81" w:rsidRDefault="00500C0B">
      <w:pPr>
        <w:widowControl w:val="0"/>
        <w:spacing w:after="0" w:line="480" w:lineRule="auto"/>
        <w:rPr>
          <w:rFonts w:ascii="Times New Roman" w:eastAsia="Garamond" w:hAnsi="Times New Roman" w:cs="Times New Roman"/>
          <w:b/>
          <w:bCs/>
          <w:sz w:val="24"/>
          <w:szCs w:val="24"/>
          <w14:ligatures w14:val="standard"/>
        </w:rPr>
      </w:pPr>
    </w:p>
    <w:p w14:paraId="654D38F3" w14:textId="77777777" w:rsidR="00500C0B" w:rsidRPr="00CC4E81" w:rsidRDefault="00ED02EB">
      <w:pPr>
        <w:spacing w:after="0" w:line="240" w:lineRule="auto"/>
        <w:rPr>
          <w:rFonts w:ascii="Times New Roman" w:eastAsia="Garamond" w:hAnsi="Times New Roman" w:cs="Times New Roman"/>
          <w:b/>
          <w:bCs/>
          <w:sz w:val="24"/>
          <w:szCs w:val="24"/>
          <w14:ligatures w14:val="standard"/>
        </w:rPr>
      </w:pPr>
      <w:r w:rsidRPr="00CC4E81">
        <w:rPr>
          <w:rFonts w:ascii="Times New Roman" w:hAnsi="Times New Roman" w:cs="Times New Roman"/>
          <w:sz w:val="24"/>
          <w:szCs w:val="24"/>
        </w:rPr>
        <w:br w:type="page"/>
      </w:r>
    </w:p>
    <w:p w14:paraId="5E8EAF12" w14:textId="77777777" w:rsidR="00500C0B" w:rsidRPr="00CC4E81" w:rsidRDefault="00ED02EB">
      <w:pPr>
        <w:widowControl w:val="0"/>
        <w:spacing w:after="0" w:line="480" w:lineRule="auto"/>
        <w:rPr>
          <w:rFonts w:ascii="Times New Roman" w:eastAsia="Garamond" w:hAnsi="Times New Roman" w:cs="Times New Roman"/>
          <w:b/>
          <w:bCs/>
          <w:sz w:val="24"/>
          <w:szCs w:val="24"/>
          <w14:ligatures w14:val="standard"/>
        </w:rPr>
      </w:pPr>
      <w:r w:rsidRPr="00CC4E81">
        <w:rPr>
          <w:rFonts w:ascii="Times New Roman" w:eastAsia="Garamond" w:hAnsi="Times New Roman" w:cs="Times New Roman"/>
          <w:b/>
          <w:bCs/>
          <w:sz w:val="24"/>
          <w:szCs w:val="24"/>
          <w14:ligatures w14:val="standard"/>
        </w:rPr>
        <w:lastRenderedPageBreak/>
        <w:t>Introduction</w:t>
      </w:r>
    </w:p>
    <w:p w14:paraId="22DF3BDA" w14:textId="61E3373F" w:rsidR="00500C0B" w:rsidRPr="00CC4E81" w:rsidRDefault="00ED02EB" w:rsidP="00B02BC7">
      <w:pPr>
        <w:spacing w:after="0" w:line="480" w:lineRule="auto"/>
        <w:ind w:firstLine="720"/>
        <w:rPr>
          <w:rFonts w:ascii="Times New Roman" w:hAnsi="Times New Roman" w:cs="Times New Roman"/>
          <w:sz w:val="24"/>
          <w:szCs w:val="24"/>
        </w:rPr>
      </w:pPr>
      <w:r w:rsidRPr="00CC4E81">
        <w:rPr>
          <w:rFonts w:ascii="Times New Roman" w:eastAsia="Garamond" w:hAnsi="Times New Roman" w:cs="Times New Roman"/>
          <w:sz w:val="24"/>
          <w:szCs w:val="24"/>
          <w14:ligatures w14:val="standard"/>
        </w:rPr>
        <w:t xml:space="preserve">The shale oil and gas era has raised significant questions about how policymakers design and implement policies that involve multiple goals. </w:t>
      </w:r>
      <w:r w:rsidR="00B02BC7" w:rsidRPr="00CC4E81">
        <w:rPr>
          <w:rFonts w:ascii="Times New Roman" w:hAnsi="Times New Roman" w:cs="Times New Roman"/>
          <w:sz w:val="24"/>
          <w:szCs w:val="24"/>
        </w:rPr>
        <w:t xml:space="preserve">For oil and gas, the federal government’s footprint is small and is largely concerned managing extraction </w:t>
      </w:r>
      <w:r w:rsidR="00D71102" w:rsidRPr="00CC4E81">
        <w:rPr>
          <w:rFonts w:ascii="Times New Roman" w:hAnsi="Times New Roman" w:cs="Times New Roman"/>
          <w:sz w:val="24"/>
          <w:szCs w:val="24"/>
        </w:rPr>
        <w:t>on</w:t>
      </w:r>
      <w:r w:rsidR="00B02BC7" w:rsidRPr="00CC4E81">
        <w:rPr>
          <w:rFonts w:ascii="Times New Roman" w:hAnsi="Times New Roman" w:cs="Times New Roman"/>
          <w:sz w:val="24"/>
          <w:szCs w:val="24"/>
        </w:rPr>
        <w:t xml:space="preserve"> federal lands, overseeing some, but certainly a limited portion of funding, and responding to global energy dynamics such as liquefied natural gas exports and trade</w:t>
      </w:r>
      <w:r w:rsidR="004B4BC5" w:rsidRPr="00CC4E81">
        <w:rPr>
          <w:rFonts w:ascii="Times New Roman" w:hAnsi="Times New Roman" w:cs="Times New Roman"/>
          <w:sz w:val="24"/>
          <w:szCs w:val="24"/>
        </w:rPr>
        <w:t xml:space="preserve"> </w:t>
      </w:r>
      <w:r w:rsidR="003B137D" w:rsidRPr="00CC4E81">
        <w:rPr>
          <w:rFonts w:ascii="Times New Roman" w:hAnsi="Times New Roman" w:cs="Times New Roman"/>
          <w:sz w:val="24"/>
          <w:szCs w:val="24"/>
        </w:rPr>
        <w:fldChar w:fldCharType="begin"/>
      </w:r>
      <w:r w:rsidR="003B137D" w:rsidRPr="00CC4E81">
        <w:rPr>
          <w:rFonts w:ascii="Times New Roman" w:hAnsi="Times New Roman" w:cs="Times New Roman"/>
          <w:sz w:val="24"/>
          <w:szCs w:val="24"/>
        </w:rPr>
        <w:instrText xml:space="preserve"> ADDIN ZOTERO_ITEM CSL_CITATION {"citationID":"bnZD0ucQ","properties":{"formattedCitation":"(Fisk 2017)","plainCitation":"(Fisk 2017)","noteIndex":0},"citationItems":[{"id":1746,"uris":["http://zotero.org/users/3682065/items/6UGUT8L4"],"itemData":{"id":1746,"type":"book","edition":"2","event-place":"New York : Routledge, 2017.","ISBN":"978-1-315-21271-5","language":"English","note":"DOI: 10.4324/9781315212715","publisher":"Routledge","publisher-place":"New York : Routledge, 2017.","source":"DOI.org (Crossref)","title":"The Fracking Debate: Intergovernmental Politics of the Oil and Gas Renaissance","title-short":"The Fracking Debate","URL":"https://www.taylorfrancis.com/books/9781498742429","author":[{"family":"Fisk","given":"Jonathan M."}],"accessed":{"date-parts":[["2025",4,5]]},"issued":{"date-parts":[["2017",8,7]]}}}],"schema":"https://github.com/citation-style-language/schema/raw/master/csl-citation.json"} </w:instrText>
      </w:r>
      <w:r w:rsidR="003B137D" w:rsidRPr="00CC4E81">
        <w:rPr>
          <w:rFonts w:ascii="Times New Roman" w:hAnsi="Times New Roman" w:cs="Times New Roman"/>
          <w:sz w:val="24"/>
          <w:szCs w:val="24"/>
        </w:rPr>
        <w:fldChar w:fldCharType="separate"/>
      </w:r>
      <w:r w:rsidR="003B137D" w:rsidRPr="00CC4E81">
        <w:rPr>
          <w:rFonts w:ascii="Times New Roman" w:hAnsi="Times New Roman" w:cs="Times New Roman"/>
          <w:sz w:val="24"/>
          <w:szCs w:val="24"/>
        </w:rPr>
        <w:t>(Fisk 2017)</w:t>
      </w:r>
      <w:r w:rsidR="003B137D" w:rsidRPr="00CC4E81">
        <w:rPr>
          <w:rFonts w:ascii="Times New Roman" w:hAnsi="Times New Roman" w:cs="Times New Roman"/>
          <w:sz w:val="24"/>
          <w:szCs w:val="24"/>
        </w:rPr>
        <w:fldChar w:fldCharType="end"/>
      </w:r>
      <w:r w:rsidR="00B02BC7" w:rsidRPr="00CC4E81">
        <w:rPr>
          <w:rFonts w:ascii="Times New Roman" w:hAnsi="Times New Roman" w:cs="Times New Roman"/>
          <w:sz w:val="24"/>
          <w:szCs w:val="24"/>
        </w:rPr>
        <w:t xml:space="preserve">. By comparison, </w:t>
      </w:r>
      <w:r w:rsidR="00B02BC7" w:rsidRPr="00CC4E81">
        <w:rPr>
          <w:rFonts w:ascii="Times New Roman" w:eastAsia="Garamond" w:hAnsi="Times New Roman" w:cs="Times New Roman"/>
          <w:sz w:val="24"/>
          <w:szCs w:val="24"/>
          <w14:ligatures w14:val="standard"/>
        </w:rPr>
        <w:t xml:space="preserve">state governments are at the center. They pass and enforce most rules and standards </w:t>
      </w:r>
      <w:r w:rsidR="00B02BC7" w:rsidRPr="00CC4E81">
        <w:rPr>
          <w:rFonts w:ascii="Times New Roman" w:hAnsi="Times New Roman" w:cs="Times New Roman"/>
          <w:sz w:val="24"/>
          <w:szCs w:val="24"/>
        </w:rPr>
        <w:t xml:space="preserve">relative to oil and gas production </w:t>
      </w:r>
      <w:r w:rsidR="000B23BF"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{"citationID":"ENYN5H51","properties":{"formattedCitation":"(Fisk, Jordan, and Good 2022; Pautz and Rinfret 2013)","plainCitation":"(Fisk, Jordan, and Good 2022; Pautz and Rinfret 2013)","noteIndex":0},"citationItems":[{"id":1739,"uris":["http://zotero.org/users/3682065/items/GQXFZ5LH"],"itemData":{"id":1739,"type":"book","event-place":"Pittsburgh, Pa","ISBN":"978-0-8229-8908-0","language":"English","number-of-pages":"1","publisher":"University of Pittsburgh Press","publisher-place":"Pittsburgh, Pa","source":"K10plus ISBN","title":"The shale renaissance: how fracking has changed Pennsylvania in the twenty-first century","title-short":"The shale renaissance","author":[{"family":"Fisk","given":"Jonathan M."},{"family":"Jordan","given":"Soren"},{"family":"Good","given":"A. J."}],"issued":{"date-parts":[["2022"]]}}},{"id":1804,"uris":["http://zotero.org/users/3682065/items/2YVBHAC9"],"itemData":{"id":1804,"type":"book","collection-number":"2","collection-title":"Routledge research in environmental policy and politics","event-place":"New York, N.Y","ISBN":"978-1-138-90904-5","language":"English","note":"DOI: 10.4324/9780203143933","number-of-pages":"1","publisher":"Routledge","publisher-place":"New York, N.Y","source":"K10plus ISBN","title":"The Lilliputians of environmental regulation: the perspective of state regulators","title-short":"The Lilliputians of environmental regulation","author":[{"family":"Pautz","given":"Michelle C."},{"family":"Rinfret","given":"Sara R."}],"issued":{"date-parts":[["2013"]]}}}],"schema":"https://github.com/citation-style-language/schema/raw/master/csl-citation.json"} </w:instrText>
      </w:r>
      <w:r w:rsidR="000B23BF" w:rsidRPr="00CC4E81">
        <w:rPr>
          <w:rFonts w:ascii="Times New Roman" w:hAnsi="Times New Roman" w:cs="Times New Roman"/>
          <w:sz w:val="24"/>
          <w:szCs w:val="24"/>
        </w:rPr>
        <w:fldChar w:fldCharType="separate"/>
      </w:r>
      <w:r w:rsidR="000B23BF" w:rsidRPr="00CC4E81">
        <w:rPr>
          <w:rFonts w:ascii="Times New Roman" w:hAnsi="Times New Roman" w:cs="Times New Roman"/>
          <w:sz w:val="24"/>
          <w:szCs w:val="24"/>
        </w:rPr>
        <w:t>(Fisk, Jordan, and Good 2022; Pautz and Rinfret 2013)</w:t>
      </w:r>
      <w:r w:rsidR="000B23BF" w:rsidRPr="00CC4E81">
        <w:rPr>
          <w:rFonts w:ascii="Times New Roman" w:hAnsi="Times New Roman" w:cs="Times New Roman"/>
          <w:sz w:val="24"/>
          <w:szCs w:val="24"/>
        </w:rPr>
        <w:fldChar w:fldCharType="end"/>
      </w:r>
      <w:r w:rsidR="00B02BC7" w:rsidRPr="00CC4E81">
        <w:rPr>
          <w:rFonts w:ascii="Times New Roman" w:hAnsi="Times New Roman" w:cs="Times New Roman"/>
          <w:sz w:val="24"/>
          <w:szCs w:val="24"/>
        </w:rPr>
        <w:t xml:space="preserve">. </w:t>
      </w:r>
      <w:r w:rsidRPr="00CC4E81">
        <w:rPr>
          <w:rFonts w:ascii="Times New Roman" w:eastAsia="Garamond" w:hAnsi="Times New Roman" w:cs="Times New Roman"/>
          <w:sz w:val="24"/>
          <w:szCs w:val="24"/>
          <w14:ligatures w14:val="standard"/>
        </w:rPr>
        <w:t>For</w:t>
      </w:r>
      <w:r w:rsidR="00B02BC7" w:rsidRPr="00CC4E81">
        <w:rPr>
          <w:rFonts w:ascii="Times New Roman" w:eastAsia="Garamond" w:hAnsi="Times New Roman" w:cs="Times New Roman"/>
          <w:sz w:val="24"/>
          <w:szCs w:val="24"/>
          <w14:ligatures w14:val="standard"/>
        </w:rPr>
        <w:t xml:space="preserve"> state </w:t>
      </w:r>
      <w:r w:rsidRPr="00CC4E81">
        <w:rPr>
          <w:rFonts w:ascii="Times New Roman" w:eastAsia="Garamond" w:hAnsi="Times New Roman" w:cs="Times New Roman"/>
          <w:sz w:val="24"/>
          <w:szCs w:val="24"/>
          <w14:ligatures w14:val="standard"/>
        </w:rPr>
        <w:t>oil and gas agencies,</w:t>
      </w:r>
      <w:r w:rsidR="00933EDD" w:rsidRPr="00CC4E81">
        <w:rPr>
          <w:rFonts w:ascii="Times New Roman" w:eastAsia="Garamond" w:hAnsi="Times New Roman" w:cs="Times New Roman"/>
          <w:sz w:val="24"/>
          <w:szCs w:val="24"/>
          <w14:ligatures w14:val="standard"/>
        </w:rPr>
        <w:t xml:space="preserve"> </w:t>
      </w:r>
      <w:r w:rsidRPr="00CC4E81">
        <w:rPr>
          <w:rFonts w:ascii="Times New Roman" w:eastAsia="Garamond" w:hAnsi="Times New Roman" w:cs="Times New Roman"/>
          <w:sz w:val="24"/>
          <w:szCs w:val="24"/>
          <w14:ligatures w14:val="standard"/>
        </w:rPr>
        <w:t>administrators are tasked with facilitating extraction and</w:t>
      </w:r>
      <w:r w:rsidR="007A4B05" w:rsidRPr="00CC4E81">
        <w:rPr>
          <w:rFonts w:ascii="Times New Roman" w:eastAsia="Garamond" w:hAnsi="Times New Roman" w:cs="Times New Roman"/>
          <w:sz w:val="24"/>
          <w:szCs w:val="24"/>
          <w14:ligatures w14:val="standard"/>
        </w:rPr>
        <w:t xml:space="preserve"> securing</w:t>
      </w:r>
      <w:r w:rsidRPr="00CC4E81">
        <w:rPr>
          <w:rFonts w:ascii="Times New Roman" w:eastAsia="Garamond" w:hAnsi="Times New Roman" w:cs="Times New Roman"/>
          <w:sz w:val="24"/>
          <w:szCs w:val="24"/>
          <w14:ligatures w14:val="standard"/>
        </w:rPr>
        <w:t xml:space="preserve"> </w:t>
      </w:r>
      <w:r w:rsidR="007A4B05" w:rsidRPr="00CC4E81">
        <w:rPr>
          <w:rFonts w:ascii="Times New Roman" w:eastAsia="Garamond" w:hAnsi="Times New Roman" w:cs="Times New Roman"/>
          <w:sz w:val="24"/>
          <w:szCs w:val="24"/>
          <w14:ligatures w14:val="standard"/>
        </w:rPr>
        <w:t xml:space="preserve">the </w:t>
      </w:r>
      <w:r w:rsidRPr="00CC4E81">
        <w:rPr>
          <w:rFonts w:ascii="Times New Roman" w:eastAsia="Garamond" w:hAnsi="Times New Roman" w:cs="Times New Roman"/>
          <w:sz w:val="24"/>
          <w:szCs w:val="24"/>
          <w14:ligatures w14:val="standard"/>
        </w:rPr>
        <w:t xml:space="preserve">associated </w:t>
      </w:r>
      <w:r w:rsidR="007A4B05" w:rsidRPr="00CC4E81">
        <w:rPr>
          <w:rFonts w:ascii="Times New Roman" w:eastAsia="Garamond" w:hAnsi="Times New Roman" w:cs="Times New Roman"/>
          <w:sz w:val="24"/>
          <w:szCs w:val="24"/>
          <w14:ligatures w14:val="standard"/>
        </w:rPr>
        <w:t xml:space="preserve">economic </w:t>
      </w:r>
      <w:r w:rsidRPr="00CC4E81">
        <w:rPr>
          <w:rFonts w:ascii="Times New Roman" w:eastAsia="Garamond" w:hAnsi="Times New Roman" w:cs="Times New Roman"/>
          <w:sz w:val="24"/>
          <w:szCs w:val="24"/>
          <w14:ligatures w14:val="standard"/>
        </w:rPr>
        <w:t>benefits</w:t>
      </w:r>
      <w:r w:rsidR="006F3CFB" w:rsidRPr="00CC4E81">
        <w:rPr>
          <w:rFonts w:ascii="Times New Roman" w:eastAsia="Garamond" w:hAnsi="Times New Roman" w:cs="Times New Roman"/>
          <w:sz w:val="24"/>
          <w:szCs w:val="24"/>
          <w14:ligatures w14:val="standard"/>
        </w:rPr>
        <w:t xml:space="preserve">, especially in areas with historical and active development </w:t>
      </w:r>
      <w:r w:rsidR="00AE3FD3" w:rsidRPr="00CC4E81">
        <w:rPr>
          <w:rFonts w:ascii="Times New Roman" w:eastAsia="Garamond" w:hAnsi="Times New Roman" w:cs="Times New Roman"/>
          <w:sz w:val="24"/>
          <w:szCs w:val="24"/>
          <w14:ligatures w14:val="standard"/>
        </w:rPr>
        <w:fldChar w:fldCharType="begin"/>
      </w:r>
      <w:r w:rsidR="003B0A34" w:rsidRPr="00CC4E81">
        <w:rPr>
          <w:rFonts w:ascii="Times New Roman" w:eastAsia="Garamond" w:hAnsi="Times New Roman" w:cs="Times New Roman"/>
          <w:sz w:val="24"/>
          <w:szCs w:val="24"/>
          <w14:ligatures w14:val="standard"/>
        </w:rPr>
        <w:instrText xml:space="preserve"> ADDIN ZOTERO_ITEM CSL_CITATION {"citationID":"7ProcIAt","properties":{"formattedCitation":"(Amin et al. 2025)","plainCitation":"(Amin et al. 2025)","noteIndex":0},"citationItems":[{"id":1808,"uris":["http://zotero.org/users/3682065/items/Q8CBHG2G"],"itemData":{"id":1808,"type":"article-journal","container-title":"Journal of Environmental Policy &amp; Planning","DOI":"10.1080/1523908X.2025.2480289","ISSN":"1523-908X, 1522-7200","journalAbbreviation":"Journal of Environmental Policy &amp; Planning","language":"English","page":"1-14","source":"DOI.org (Crossref)","title":"Plugged in? Assessing the distribution of orphaned wells","title-short":"Plugged in?","author":[{"family":"Amin","given":"Alisha"},{"family":"Adams","given":"David P."},{"family":"Fisk","given":"Jonathan M."},{"family":"Mayer","given":"Adam F."}],"issued":{"date-parts":[["2025",3,26]]}}}],"schema":"https://github.com/citation-style-language/schema/raw/master/csl-citation.json"} </w:instrText>
      </w:r>
      <w:r w:rsidR="00AE3FD3" w:rsidRPr="00CC4E81">
        <w:rPr>
          <w:rFonts w:ascii="Times New Roman" w:eastAsia="Garamond" w:hAnsi="Times New Roman" w:cs="Times New Roman"/>
          <w:sz w:val="24"/>
          <w:szCs w:val="24"/>
          <w14:ligatures w14:val="standard"/>
        </w:rPr>
        <w:fldChar w:fldCharType="separate"/>
      </w:r>
      <w:r w:rsidR="00AE3FD3" w:rsidRPr="00CC4E81">
        <w:rPr>
          <w:rFonts w:ascii="Times New Roman" w:hAnsi="Times New Roman" w:cs="Times New Roman"/>
          <w:sz w:val="24"/>
          <w:szCs w:val="24"/>
        </w:rPr>
        <w:t>(Amin et al. 2025)</w:t>
      </w:r>
      <w:r w:rsidR="00AE3FD3" w:rsidRPr="00CC4E81">
        <w:rPr>
          <w:rFonts w:ascii="Times New Roman" w:eastAsia="Garamond" w:hAnsi="Times New Roman" w:cs="Times New Roman"/>
          <w:sz w:val="24"/>
          <w:szCs w:val="24"/>
          <w14:ligatures w14:val="standard"/>
        </w:rPr>
        <w:fldChar w:fldCharType="end"/>
      </w:r>
      <w:r w:rsidR="007A4B05" w:rsidRPr="00CC4E81">
        <w:rPr>
          <w:rFonts w:ascii="Times New Roman" w:eastAsia="Garamond" w:hAnsi="Times New Roman" w:cs="Times New Roman"/>
          <w:sz w:val="24"/>
          <w:szCs w:val="24"/>
          <w14:ligatures w14:val="standard"/>
        </w:rPr>
        <w:t xml:space="preserve">. </w:t>
      </w:r>
      <w:r w:rsidRPr="00CC4E81">
        <w:rPr>
          <w:rFonts w:ascii="Times New Roman" w:eastAsia="Garamond" w:hAnsi="Times New Roman" w:cs="Times New Roman"/>
          <w:sz w:val="24"/>
          <w:szCs w:val="24"/>
          <w14:ligatures w14:val="standard"/>
        </w:rPr>
        <w:t xml:space="preserve">However, legislation </w:t>
      </w:r>
      <w:r w:rsidR="00933EDD" w:rsidRPr="00CC4E81">
        <w:rPr>
          <w:rFonts w:ascii="Times New Roman" w:eastAsia="Garamond" w:hAnsi="Times New Roman" w:cs="Times New Roman"/>
          <w:sz w:val="24"/>
          <w:szCs w:val="24"/>
          <w14:ligatures w14:val="standard"/>
        </w:rPr>
        <w:t xml:space="preserve">often </w:t>
      </w:r>
      <w:r w:rsidRPr="00CC4E81">
        <w:rPr>
          <w:rFonts w:ascii="Times New Roman" w:eastAsia="Garamond" w:hAnsi="Times New Roman" w:cs="Times New Roman"/>
          <w:sz w:val="24"/>
          <w:szCs w:val="24"/>
          <w14:ligatures w14:val="standard"/>
        </w:rPr>
        <w:t xml:space="preserve">mandates </w:t>
      </w:r>
      <w:r w:rsidR="007A4B05" w:rsidRPr="00CC4E81">
        <w:rPr>
          <w:rFonts w:ascii="Times New Roman" w:eastAsia="Garamond" w:hAnsi="Times New Roman" w:cs="Times New Roman"/>
          <w:sz w:val="24"/>
          <w:szCs w:val="24"/>
          <w14:ligatures w14:val="standard"/>
        </w:rPr>
        <w:t xml:space="preserve">that </w:t>
      </w:r>
      <w:r w:rsidRPr="00CC4E81">
        <w:rPr>
          <w:rFonts w:ascii="Times New Roman" w:eastAsia="Garamond" w:hAnsi="Times New Roman" w:cs="Times New Roman"/>
          <w:sz w:val="24"/>
          <w:szCs w:val="24"/>
          <w14:ligatures w14:val="standard"/>
        </w:rPr>
        <w:t>agencies</w:t>
      </w:r>
      <w:r w:rsidR="00933EDD" w:rsidRPr="00CC4E81">
        <w:rPr>
          <w:rFonts w:ascii="Times New Roman" w:eastAsia="Garamond" w:hAnsi="Times New Roman" w:cs="Times New Roman"/>
          <w:sz w:val="24"/>
          <w:szCs w:val="24"/>
          <w14:ligatures w14:val="standard"/>
        </w:rPr>
        <w:t xml:space="preserve"> must also</w:t>
      </w:r>
      <w:r w:rsidRPr="00CC4E81">
        <w:rPr>
          <w:rFonts w:ascii="Times New Roman" w:eastAsia="Garamond" w:hAnsi="Times New Roman" w:cs="Times New Roman"/>
          <w:sz w:val="24"/>
          <w:szCs w:val="24"/>
          <w14:ligatures w14:val="standard"/>
        </w:rPr>
        <w:t xml:space="preserve"> minimize </w:t>
      </w:r>
      <w:r w:rsidR="007A4B05" w:rsidRPr="00CC4E81">
        <w:rPr>
          <w:rFonts w:ascii="Times New Roman" w:eastAsia="Garamond" w:hAnsi="Times New Roman" w:cs="Times New Roman"/>
          <w:sz w:val="24"/>
          <w:szCs w:val="24"/>
          <w14:ligatures w14:val="standard"/>
        </w:rPr>
        <w:t xml:space="preserve">environmental and public safety </w:t>
      </w:r>
      <w:r w:rsidRPr="00CC4E81">
        <w:rPr>
          <w:rFonts w:ascii="Times New Roman" w:eastAsia="Garamond" w:hAnsi="Times New Roman" w:cs="Times New Roman"/>
          <w:sz w:val="24"/>
          <w:szCs w:val="24"/>
          <w14:ligatures w14:val="standard"/>
        </w:rPr>
        <w:t>externalities</w:t>
      </w:r>
      <w:r w:rsidR="007A4B05" w:rsidRPr="00CC4E81">
        <w:rPr>
          <w:rFonts w:ascii="Times New Roman" w:eastAsia="Garamond" w:hAnsi="Times New Roman" w:cs="Times New Roman"/>
          <w:sz w:val="24"/>
          <w:szCs w:val="24"/>
          <w14:ligatures w14:val="standard"/>
        </w:rPr>
        <w:t xml:space="preserv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{"citationID":"QHmGCiFe","properties":{"formattedCitation":"(Fisk 2017; Fisk, Jordan, and Good 2022)","plainCitation":"(Fisk 2017; Fisk, Jordan, and Good 2022)","noteIndex":0},"citationItems":[{"id":1746,"uris":["http://zotero.org/users/3682065/items/6UGUT8L4"],"itemData":{"id":1746,"type":"book","edition":"2","event-place":"New York : Routledge, 2017.","ISBN":"978-1-315-21271-5","language":"English","note":"DOI: 10.4324/9781315212715","publisher":"Routledge","publisher-place":"New York : Routledge, 2017.","source":"DOI.org (Crossref)","title":"The Fracking Debate: Intergovernmental Politics of the Oil and Gas Renaissance","title-short":"The Fracking Debate","URL":"https://www.taylorfrancis.com/books/9781498742429","author":[{"family":"Fisk","given":"Jonathan M."}],"accessed":{"date-parts":[["2025",4,5]]},"issued":{"date-parts":[["2017",8,7]]}}},{"id":1739,"uris":["http://zotero.org/users/3682065/items/GQXFZ5LH"],"itemData":{"id":1739,"type":"book","event-place":"Pittsburgh, Pa","ISBN":"978-0-8229-8908-0","language":"English","number-of-pages":"1","publisher":"University of Pittsburgh Press","publisher-place":"Pittsburgh, Pa","source":"K10plus ISBN","title":"The shale renaissance: how fracking has changed Pennsylvania in the twenty-first century","title-short":"The shale renaissance","author":[{"family":"Fisk","given":"Jonathan M."},{"family":"Jordan","given":"Soren"},{"family":"Good","given":"A. J."}],"issued":{"date-parts":[["2022"]]}}}],"schema":"https://github.com/citation-style-language/schema/raw/master/csl-citation.json"}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(Fisk 2017; Fisk, Jordan, and Good 2022)</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r w:rsidR="007A4B05" w:rsidRPr="00CC4E81">
        <w:rPr>
          <w:rFonts w:ascii="Times New Roman" w:eastAsia="Garamond" w:hAnsi="Times New Roman" w:cs="Times New Roman"/>
          <w:sz w:val="24"/>
          <w:szCs w:val="24"/>
          <w14:ligatures w14:val="standard"/>
        </w:rPr>
        <w:t>P</w:t>
      </w:r>
      <w:r w:rsidRPr="00CC4E81">
        <w:rPr>
          <w:rFonts w:ascii="Times New Roman" w:eastAsia="Garamond" w:hAnsi="Times New Roman" w:cs="Times New Roman"/>
          <w:sz w:val="24"/>
          <w:szCs w:val="24"/>
          <w14:ligatures w14:val="standard"/>
        </w:rPr>
        <w:t>erformance</w:t>
      </w:r>
      <w:r w:rsidR="007A4B05" w:rsidRPr="00CC4E81">
        <w:rPr>
          <w:rFonts w:ascii="Times New Roman" w:eastAsia="Garamond" w:hAnsi="Times New Roman" w:cs="Times New Roman"/>
          <w:sz w:val="24"/>
          <w:szCs w:val="24"/>
          <w14:ligatures w14:val="standard"/>
        </w:rPr>
        <w:t>, as measured through enforcement outputs,</w:t>
      </w:r>
      <w:r w:rsidRPr="00CC4E81">
        <w:rPr>
          <w:rFonts w:ascii="Times New Roman" w:eastAsia="Garamond" w:hAnsi="Times New Roman" w:cs="Times New Roman"/>
          <w:sz w:val="24"/>
          <w:szCs w:val="24"/>
          <w14:ligatures w14:val="standard"/>
        </w:rPr>
        <w:t xml:space="preserve"> lies at the nexus of these potentially conflicting goals. Excessive enforcement may create an adversarial and inefficient relationship between regulators and regulated entities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{"citationID":"fP19JrFa","properties":{"formattedCitation":"(i.e., Edwards, O\\uc0\\u8217{}Grady, and Jenkins 2019)","plainCitation":"(i.e., Edwards, O’Grady, and Jenkins 2019)","noteIndex":0},"citationItems":[{"id":1602,"uris":["http://zotero.org/users/3682065/items/DUGXAXBC"],"itemData":{"id":1602,"type":"report","archive":"JSTOR","publisher":"Center for Environmental and Resource Economic Policy","title":"Sooner or Safer?","URL":"http://www.jstor.org.spot.lib.auburn.edu/stable/resrep37144","author":[{"family":"Edwards","given":"Eric C."},{"family":"O’Grady","given":"Trevor"},{"family":"Jenkins","given":"David"}],"accessed":{"date-parts":[["2024",12,6]]},"issued":{"date-parts":[["2019"]]}},"prefix":"i.e.,"}],"schema":"https://github.com/citation-style-language/schema/raw/master/csl-citation.json"}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(i.e., Edwards, O’Grady, and Jenkins 2019)</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and harm economic growth</w:t>
      </w:r>
      <w:r w:rsidR="007A4B05" w:rsidRPr="00CC4E81">
        <w:rPr>
          <w:rFonts w:ascii="Times New Roman" w:eastAsia="Garamond" w:hAnsi="Times New Roman" w:cs="Times New Roman"/>
          <w:sz w:val="24"/>
          <w:szCs w:val="24"/>
          <w14:ligatures w14:val="standard"/>
        </w:rPr>
        <w:t xml:space="preserve">. Yet, </w:t>
      </w:r>
      <w:r w:rsidRPr="00CC4E81">
        <w:rPr>
          <w:rFonts w:ascii="Times New Roman" w:eastAsia="Garamond" w:hAnsi="Times New Roman" w:cs="Times New Roman"/>
          <w:sz w:val="24"/>
          <w:szCs w:val="24"/>
          <w14:ligatures w14:val="standard"/>
        </w:rPr>
        <w:t xml:space="preserve">insufficient </w:t>
      </w:r>
      <w:r w:rsidR="007A4B05" w:rsidRPr="00CC4E81">
        <w:rPr>
          <w:rFonts w:ascii="Times New Roman" w:eastAsia="Garamond" w:hAnsi="Times New Roman" w:cs="Times New Roman"/>
          <w:sz w:val="24"/>
          <w:szCs w:val="24"/>
          <w14:ligatures w14:val="standard"/>
        </w:rPr>
        <w:t xml:space="preserve">performance </w:t>
      </w:r>
      <w:r w:rsidRPr="00CC4E81">
        <w:rPr>
          <w:rFonts w:ascii="Times New Roman" w:eastAsia="Garamond" w:hAnsi="Times New Roman" w:cs="Times New Roman"/>
          <w:sz w:val="24"/>
          <w:szCs w:val="24"/>
          <w14:ligatures w14:val="standard"/>
        </w:rPr>
        <w:t xml:space="preserve">can </w:t>
      </w:r>
      <w:r w:rsidR="007A4B05" w:rsidRPr="00CC4E81">
        <w:rPr>
          <w:rFonts w:ascii="Times New Roman" w:eastAsia="Garamond" w:hAnsi="Times New Roman" w:cs="Times New Roman"/>
          <w:sz w:val="24"/>
          <w:szCs w:val="24"/>
          <w14:ligatures w14:val="standard"/>
        </w:rPr>
        <w:t>sow</w:t>
      </w:r>
      <w:r w:rsidRPr="00CC4E81">
        <w:rPr>
          <w:rFonts w:ascii="Times New Roman" w:eastAsia="Garamond" w:hAnsi="Times New Roman" w:cs="Times New Roman"/>
          <w:sz w:val="24"/>
          <w:szCs w:val="24"/>
          <w14:ligatures w14:val="standard"/>
        </w:rPr>
        <w:t xml:space="preserve"> public distrust and</w:t>
      </w:r>
      <w:r w:rsidR="007A4B05" w:rsidRPr="00CC4E81">
        <w:rPr>
          <w:rFonts w:ascii="Times New Roman" w:eastAsia="Garamond" w:hAnsi="Times New Roman" w:cs="Times New Roman"/>
          <w:sz w:val="24"/>
          <w:szCs w:val="24"/>
          <w14:ligatures w14:val="standard"/>
        </w:rPr>
        <w:t xml:space="preserve"> contribute to</w:t>
      </w:r>
      <w:r w:rsidRPr="00CC4E81">
        <w:rPr>
          <w:rFonts w:ascii="Times New Roman" w:eastAsia="Garamond" w:hAnsi="Times New Roman" w:cs="Times New Roman"/>
          <w:sz w:val="24"/>
          <w:szCs w:val="24"/>
          <w14:ligatures w14:val="standard"/>
        </w:rPr>
        <w:t xml:space="preserve"> </w:t>
      </w:r>
      <w:r w:rsidR="00D71102" w:rsidRPr="00CC4E81">
        <w:rPr>
          <w:rFonts w:ascii="Times New Roman" w:eastAsia="Garamond" w:hAnsi="Times New Roman" w:cs="Times New Roman"/>
          <w:sz w:val="24"/>
          <w:szCs w:val="24"/>
          <w14:ligatures w14:val="standard"/>
        </w:rPr>
        <w:t xml:space="preserve">public health and </w:t>
      </w:r>
      <w:r w:rsidRPr="00CC4E81">
        <w:rPr>
          <w:rFonts w:ascii="Times New Roman" w:eastAsia="Garamond" w:hAnsi="Times New Roman" w:cs="Times New Roman"/>
          <w:sz w:val="24"/>
          <w:szCs w:val="24"/>
          <w14:ligatures w14:val="standard"/>
        </w:rPr>
        <w:t>environmental harm</w:t>
      </w:r>
      <w:r w:rsidR="007A4B05" w:rsidRPr="00CC4E81">
        <w:rPr>
          <w:rFonts w:ascii="Times New Roman" w:eastAsia="Garamond" w:hAnsi="Times New Roman" w:cs="Times New Roman"/>
          <w:sz w:val="24"/>
          <w:szCs w:val="24"/>
          <w14:ligatures w14:val="standard"/>
        </w:rPr>
        <w:t>s</w:t>
      </w:r>
      <w:r w:rsidRPr="00CC4E81">
        <w:rPr>
          <w:rFonts w:ascii="Times New Roman" w:eastAsia="Garamond" w:hAnsi="Times New Roman" w:cs="Times New Roman"/>
          <w:sz w:val="24"/>
          <w:szCs w:val="24"/>
          <w14:ligatures w14:val="standard"/>
        </w:rPr>
        <w:t xml:space="preserv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{"citationID":"11II0zcV","properties":{"formattedCitation":"(Fisk, Jordan, and Good 2022)","plainCitation":"(Fisk, Jordan, and Good 2022)","noteIndex":0},"citationItems":[{"id":1739,"uris":["http://zotero.org/users/3682065/items/GQXFZ5LH"],"itemData":{"id":1739,"type":"book","event-place":"Pittsburgh, Pa","ISBN":"978-0-8229-8908-0","language":"English","number-of-pages":"1","publisher":"University of Pittsburgh Press","publisher-place":"Pittsburgh, Pa","source":"K10plus ISBN","title":"The shale renaissance: how fracking has changed Pennsylvania in the twenty-first century","title-short":"The shale renaissance","author":[{"family":"Fisk","given":"Jonathan M."},{"family":"Jordan","given":"Soren"},{"family":"Good","given":"A. J."}],"issued":{"date-parts":[["2022"]]}}}],"schema":"https://github.com/citation-style-language/schema/raw/master/csl-citation.json"}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(Fisk, Jordan, and Good 2022)</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p>
    <w:p w14:paraId="6907ECC4" w14:textId="5323762F" w:rsidR="00500C0B" w:rsidRPr="00CC4E81" w:rsidRDefault="00ED02EB" w:rsidP="005F3FAB">
      <w:pPr>
        <w:spacing w:after="0" w:line="480" w:lineRule="auto"/>
        <w:ind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 xml:space="preserve"> Administrative performance in subnational oil and gas enforcement generally involves a standard process: inspections, identification of violations (if any), deployment of administrative remedies (if necessary) to address the violations, and follow-up inspections to ensure firm compliance. </w:t>
      </w:r>
      <w:r w:rsidR="005F3FAB" w:rsidRPr="00CC4E81">
        <w:rPr>
          <w:rFonts w:ascii="Times New Roman" w:eastAsia="Garamond" w:hAnsi="Times New Roman" w:cs="Times New Roman"/>
          <w:sz w:val="24"/>
          <w:szCs w:val="24"/>
          <w14:ligatures w14:val="standard"/>
        </w:rPr>
        <w:t xml:space="preserve">Scholars have consistently found that state-level </w:t>
      </w:r>
      <w:r w:rsidRPr="00CC4E81">
        <w:rPr>
          <w:rFonts w:ascii="Times New Roman" w:eastAsia="Garamond" w:hAnsi="Times New Roman" w:cs="Times New Roman"/>
          <w:sz w:val="24"/>
          <w:szCs w:val="24"/>
          <w14:ligatures w14:val="standard"/>
        </w:rPr>
        <w:t xml:space="preserve">political </w:t>
      </w:r>
      <w:r w:rsidR="00215323" w:rsidRPr="00CC4E81">
        <w:rPr>
          <w:rFonts w:ascii="Times New Roman" w:eastAsia="Garamond" w:hAnsi="Times New Roman" w:cs="Times New Roman"/>
          <w:sz w:val="24"/>
          <w:szCs w:val="24"/>
          <w14:ligatures w14:val="standard"/>
        </w:rPr>
        <w:t xml:space="preserve">actors and </w:t>
      </w:r>
      <w:r w:rsidRPr="00CC4E81">
        <w:rPr>
          <w:rFonts w:ascii="Times New Roman" w:eastAsia="Garamond" w:hAnsi="Times New Roman" w:cs="Times New Roman"/>
          <w:sz w:val="24"/>
          <w:szCs w:val="24"/>
          <w14:ligatures w14:val="standard"/>
        </w:rPr>
        <w:t xml:space="preserve">goals, well types, fields, and </w:t>
      </w:r>
      <w:r w:rsidR="00215323" w:rsidRPr="00CC4E81">
        <w:rPr>
          <w:rFonts w:ascii="Times New Roman" w:eastAsia="Garamond" w:hAnsi="Times New Roman" w:cs="Times New Roman"/>
          <w:sz w:val="24"/>
          <w:szCs w:val="24"/>
          <w14:ligatures w14:val="standard"/>
        </w:rPr>
        <w:t xml:space="preserve">economic </w:t>
      </w:r>
      <w:r w:rsidRPr="00CC4E81">
        <w:rPr>
          <w:rFonts w:ascii="Times New Roman" w:eastAsia="Garamond" w:hAnsi="Times New Roman" w:cs="Times New Roman"/>
          <w:sz w:val="24"/>
          <w:szCs w:val="24"/>
          <w14:ligatures w14:val="standard"/>
        </w:rPr>
        <w:t>priorities have shaped the behaviors of firms</w:t>
      </w:r>
      <w:r w:rsidR="007A4B05" w:rsidRPr="00CC4E81">
        <w:rPr>
          <w:rFonts w:ascii="Times New Roman" w:eastAsia="Garamond" w:hAnsi="Times New Roman" w:cs="Times New Roman"/>
          <w:sz w:val="24"/>
          <w:szCs w:val="24"/>
          <w14:ligatures w14:val="standard"/>
        </w:rPr>
        <w:t xml:space="preserve"> as well as state</w:t>
      </w:r>
      <w:r w:rsidR="005F3FAB" w:rsidRPr="00CC4E81">
        <w:rPr>
          <w:rFonts w:ascii="Times New Roman" w:eastAsia="Garamond" w:hAnsi="Times New Roman" w:cs="Times New Roman"/>
          <w:sz w:val="24"/>
          <w:szCs w:val="24"/>
          <w14:ligatures w14:val="standard"/>
        </w:rPr>
        <w:t xml:space="preserve"> regulators</w:t>
      </w:r>
      <w:r w:rsidR="00D71102" w:rsidRPr="00CC4E81">
        <w:rPr>
          <w:rFonts w:ascii="Times New Roman" w:eastAsia="Garamond" w:hAnsi="Times New Roman" w:cs="Times New Roman"/>
          <w:sz w:val="24"/>
          <w:szCs w:val="24"/>
          <w14:ligatures w14:val="standard"/>
        </w:rPr>
        <w:t xml:space="preserve"> and compliance</w:t>
      </w:r>
      <w:r w:rsidR="005F3FAB" w:rsidRPr="00CC4E81">
        <w:rPr>
          <w:rFonts w:ascii="Times New Roman" w:eastAsia="Garamond" w:hAnsi="Times New Roman" w:cs="Times New Roman"/>
          <w:sz w:val="24"/>
          <w:szCs w:val="24"/>
          <w14:ligatures w14:val="standard"/>
        </w:rPr>
        <w:t xml:space="preserve"> </w:t>
      </w:r>
      <w:r w:rsidR="00DA5D73"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{"citationID":"oQTSzYW8","properties":{"formattedCitation":"(Fisk, Jordan, and Good 2022)","plainCitation":"(Fisk, Jordan, and Good 2022)","noteIndex":0},"citationItems":[{"id":1739,"uris":["http://zotero.org/users/3682065/items/GQXFZ5LH"],"itemData":{"id":1739,"type":"book","event-place":"Pittsburgh, Pa","ISBN":"978-0-8229-8908-0","language":"English","number-of-pages":"1","publisher":"University of Pittsburgh Press","publisher-place":"Pittsburgh, Pa","source":"K10plus ISBN","title":"The shale renaissance: how fracking has changed Pennsylvania in the twenty-first century","title-short":"The shale renaissance","author":[{"family":"Fisk","given":"Jonathan M."},{"family":"Jordan","given":"Soren"},{"family":"Good","given":"A. J."}],"issued":{"date-parts":[["2022"]]}}}],"schema":"https://github.com/citation-style-language/schema/raw/master/csl-citation.json"} </w:instrText>
      </w:r>
      <w:r w:rsidR="00DA5D73" w:rsidRPr="00CC4E81">
        <w:rPr>
          <w:rFonts w:ascii="Times New Roman" w:hAnsi="Times New Roman" w:cs="Times New Roman"/>
          <w:sz w:val="24"/>
          <w:szCs w:val="24"/>
        </w:rPr>
        <w:fldChar w:fldCharType="separate"/>
      </w:r>
      <w:r w:rsidR="00DA5D73" w:rsidRPr="00CC4E81">
        <w:rPr>
          <w:rFonts w:ascii="Times New Roman" w:hAnsi="Times New Roman" w:cs="Times New Roman"/>
          <w:sz w:val="24"/>
          <w:szCs w:val="24"/>
        </w:rPr>
        <w:t>(Fisk, Jordan, and Good 2022)</w:t>
      </w:r>
      <w:r w:rsidR="00DA5D73" w:rsidRPr="00CC4E81">
        <w:rPr>
          <w:rFonts w:ascii="Times New Roman"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r w:rsidR="006F3CFB" w:rsidRPr="00CC4E81">
        <w:rPr>
          <w:rFonts w:ascii="Times New Roman" w:eastAsia="Garamond" w:hAnsi="Times New Roman" w:cs="Times New Roman"/>
          <w:sz w:val="24"/>
          <w:szCs w:val="24"/>
          <w14:ligatures w14:val="standard"/>
        </w:rPr>
        <w:t xml:space="preserve">Moreover, these impacts are often </w:t>
      </w:r>
      <w:r w:rsidR="006F3CFB" w:rsidRPr="00CC4E81">
        <w:rPr>
          <w:rFonts w:ascii="Times New Roman" w:eastAsia="Garamond" w:hAnsi="Times New Roman" w:cs="Times New Roman"/>
          <w:sz w:val="24"/>
          <w:szCs w:val="24"/>
          <w14:ligatures w14:val="standard"/>
        </w:rPr>
        <w:lastRenderedPageBreak/>
        <w:t xml:space="preserve">place-based and most acutely felt in areas with active development </w:t>
      </w:r>
      <w:r w:rsidR="00DA5D73" w:rsidRPr="00CC4E81">
        <w:rPr>
          <w:rFonts w:ascii="Times New Roman" w:eastAsia="Garamond" w:hAnsi="Times New Roman" w:cs="Times New Roman"/>
          <w:sz w:val="24"/>
          <w:szCs w:val="24"/>
          <w14:ligatures w14:val="standard"/>
        </w:rPr>
        <w:fldChar w:fldCharType="begin"/>
      </w:r>
      <w:r w:rsidR="003B0A34" w:rsidRPr="00CC4E81">
        <w:rPr>
          <w:rFonts w:ascii="Times New Roman" w:eastAsia="Garamond" w:hAnsi="Times New Roman" w:cs="Times New Roman"/>
          <w:sz w:val="24"/>
          <w:szCs w:val="24"/>
          <w14:ligatures w14:val="standard"/>
        </w:rPr>
        <w:instrText xml:space="preserve"> ADDIN ZOTERO_ITEM CSL_CITATION {"citationID":"oYZz1780","properties":{"formattedCitation":"(Amin et al. 2025)","plainCitation":"(Amin et al. 2025)","noteIndex":0},"citationItems":[{"id":1808,"uris":["http://zotero.org/users/3682065/items/Q8CBHG2G"],"itemData":{"id":1808,"type":"article-journal","container-title":"Journal of Environmental Policy &amp; Planning","DOI":"10.1080/1523908X.2025.2480289","ISSN":"1523-908X, 1522-7200","journalAbbreviation":"Journal of Environmental Policy &amp; Planning","language":"English","page":"1-14","source":"DOI.org (Crossref)","title":"Plugged in? Assessing the distribution of orphaned wells","title-short":"Plugged in?","author":[{"family":"Amin","given":"Alisha"},{"family":"Adams","given":"David P."},{"family":"Fisk","given":"Jonathan M."},{"family":"Mayer","given":"Adam F."}],"issued":{"date-parts":[["2025",3,26]]}}}],"schema":"https://github.com/citation-style-language/schema/raw/master/csl-citation.json"} </w:instrText>
      </w:r>
      <w:r w:rsidR="00DA5D73" w:rsidRPr="00CC4E81">
        <w:rPr>
          <w:rFonts w:ascii="Times New Roman" w:eastAsia="Garamond" w:hAnsi="Times New Roman" w:cs="Times New Roman"/>
          <w:sz w:val="24"/>
          <w:szCs w:val="24"/>
          <w14:ligatures w14:val="standard"/>
        </w:rPr>
        <w:fldChar w:fldCharType="separate"/>
      </w:r>
      <w:r w:rsidR="00DA5D73" w:rsidRPr="00CC4E81">
        <w:rPr>
          <w:rFonts w:ascii="Times New Roman" w:hAnsi="Times New Roman" w:cs="Times New Roman"/>
          <w:sz w:val="24"/>
          <w:szCs w:val="24"/>
        </w:rPr>
        <w:t>(Amin et al. 2025)</w:t>
      </w:r>
      <w:r w:rsidR="00DA5D73" w:rsidRPr="00CC4E81">
        <w:rPr>
          <w:rFonts w:ascii="Times New Roman" w:eastAsia="Garamond" w:hAnsi="Times New Roman" w:cs="Times New Roman"/>
          <w:sz w:val="24"/>
          <w:szCs w:val="24"/>
          <w14:ligatures w14:val="standard"/>
        </w:rPr>
        <w:fldChar w:fldCharType="end"/>
      </w:r>
      <w:r w:rsidR="006F3CFB" w:rsidRPr="00CC4E81">
        <w:rPr>
          <w:rFonts w:ascii="Times New Roman" w:eastAsia="Garamond" w:hAnsi="Times New Roman" w:cs="Times New Roman"/>
          <w:sz w:val="24"/>
          <w:szCs w:val="24"/>
          <w14:ligatures w14:val="standard"/>
        </w:rPr>
        <w:t xml:space="preserve">. </w:t>
      </w:r>
      <w:r w:rsidR="006455C2" w:rsidRPr="00CC4E81">
        <w:rPr>
          <w:rFonts w:ascii="Times New Roman" w:eastAsia="Garamond" w:hAnsi="Times New Roman" w:cs="Times New Roman"/>
          <w:sz w:val="24"/>
          <w:szCs w:val="24"/>
          <w14:ligatures w14:val="standard"/>
        </w:rPr>
        <w:t xml:space="preserve">However, less </w:t>
      </w:r>
      <w:r w:rsidRPr="00CC4E81">
        <w:rPr>
          <w:rFonts w:ascii="Times New Roman" w:eastAsia="Garamond" w:hAnsi="Times New Roman" w:cs="Times New Roman"/>
          <w:sz w:val="24"/>
          <w:szCs w:val="24"/>
          <w14:ligatures w14:val="standard"/>
        </w:rPr>
        <w:t xml:space="preserve">attention has been </w:t>
      </w:r>
      <w:r w:rsidR="006455C2" w:rsidRPr="00CC4E81">
        <w:rPr>
          <w:rFonts w:ascii="Times New Roman" w:eastAsia="Garamond" w:hAnsi="Times New Roman" w:cs="Times New Roman"/>
          <w:sz w:val="24"/>
          <w:szCs w:val="24"/>
          <w14:ligatures w14:val="standard"/>
        </w:rPr>
        <w:t xml:space="preserve">paid </w:t>
      </w:r>
      <w:r w:rsidRPr="00CC4E81">
        <w:rPr>
          <w:rFonts w:ascii="Times New Roman" w:eastAsia="Garamond" w:hAnsi="Times New Roman" w:cs="Times New Roman"/>
          <w:sz w:val="24"/>
          <w:szCs w:val="24"/>
          <w14:ligatures w14:val="standard"/>
        </w:rPr>
        <w:t xml:space="preserve">to </w:t>
      </w:r>
      <w:r w:rsidR="006455C2" w:rsidRPr="00CC4E81">
        <w:rPr>
          <w:rFonts w:ascii="Times New Roman" w:eastAsia="Garamond" w:hAnsi="Times New Roman" w:cs="Times New Roman"/>
          <w:sz w:val="24"/>
          <w:szCs w:val="24"/>
          <w14:ligatures w14:val="standard"/>
        </w:rPr>
        <w:t xml:space="preserve">the role of information that is </w:t>
      </w:r>
      <w:r w:rsidR="00D71102" w:rsidRPr="00CC4E81">
        <w:rPr>
          <w:rFonts w:ascii="Times New Roman" w:eastAsia="Garamond" w:hAnsi="Times New Roman" w:cs="Times New Roman"/>
          <w:sz w:val="24"/>
          <w:szCs w:val="24"/>
          <w14:ligatures w14:val="standard"/>
        </w:rPr>
        <w:t xml:space="preserve">inherently </w:t>
      </w:r>
      <w:r w:rsidR="006455C2" w:rsidRPr="00CC4E81">
        <w:rPr>
          <w:rFonts w:ascii="Times New Roman" w:eastAsia="Garamond" w:hAnsi="Times New Roman" w:cs="Times New Roman"/>
          <w:sz w:val="24"/>
          <w:szCs w:val="24"/>
          <w14:ligatures w14:val="standard"/>
        </w:rPr>
        <w:t>part of the compliance process.</w:t>
      </w:r>
      <w:r w:rsidRPr="00CC4E81">
        <w:rPr>
          <w:rFonts w:ascii="Times New Roman" w:eastAsia="Garamond" w:hAnsi="Times New Roman" w:cs="Times New Roman"/>
          <w:sz w:val="24"/>
          <w:szCs w:val="24"/>
          <w14:ligatures w14:val="standard"/>
        </w:rPr>
        <w:t xml:space="preserve"> </w:t>
      </w:r>
      <w:r w:rsidR="00716940" w:rsidRPr="00CC4E81">
        <w:rPr>
          <w:rFonts w:ascii="Times New Roman" w:eastAsia="Garamond" w:hAnsi="Times New Roman" w:cs="Times New Roman"/>
          <w:sz w:val="24"/>
          <w:szCs w:val="24"/>
          <w14:ligatures w14:val="standard"/>
        </w:rPr>
        <w:t>As such,</w:t>
      </w:r>
      <w:r w:rsidRPr="00CC4E81">
        <w:rPr>
          <w:rFonts w:ascii="Times New Roman" w:eastAsia="Garamond" w:hAnsi="Times New Roman" w:cs="Times New Roman"/>
          <w:sz w:val="24"/>
          <w:szCs w:val="24"/>
          <w14:ligatures w14:val="standard"/>
        </w:rPr>
        <w:t xml:space="preserve"> we examine whether increased information disclosure via the creation of a publicly available, online, and searchable database enhances agency performance relative to conducting inspections, identifying violations, and taking corrective administrative actions</w:t>
      </w:r>
      <w:r w:rsidR="00D71102" w:rsidRPr="00CC4E81">
        <w:rPr>
          <w:rFonts w:ascii="Times New Roman" w:eastAsia="Garamond" w:hAnsi="Times New Roman" w:cs="Times New Roman"/>
          <w:sz w:val="24"/>
          <w:szCs w:val="24"/>
          <w14:ligatures w14:val="standard"/>
        </w:rPr>
        <w:t xml:space="preserve"> or what we describe as the regulatory pipeline</w:t>
      </w:r>
      <w:r w:rsidRPr="00CC4E81">
        <w:rPr>
          <w:rFonts w:ascii="Times New Roman" w:eastAsia="Garamond" w:hAnsi="Times New Roman" w:cs="Times New Roman"/>
          <w:sz w:val="24"/>
          <w:szCs w:val="24"/>
          <w14:ligatures w14:val="standard"/>
        </w:rPr>
        <w:t>.</w:t>
      </w:r>
    </w:p>
    <w:p w14:paraId="7012FB7C" w14:textId="0EE74914" w:rsidR="00500C0B" w:rsidRPr="00CC4E81" w:rsidRDefault="00716940">
      <w:pPr>
        <w:spacing w:after="0" w:line="480" w:lineRule="auto"/>
        <w:ind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 xml:space="preserve">To </w:t>
      </w:r>
      <w:r w:rsidR="00ED02EB" w:rsidRPr="00CC4E81">
        <w:rPr>
          <w:rFonts w:ascii="Times New Roman" w:eastAsia="Garamond" w:hAnsi="Times New Roman" w:cs="Times New Roman"/>
          <w:sz w:val="24"/>
          <w:szCs w:val="24"/>
          <w14:ligatures w14:val="standard"/>
        </w:rPr>
        <w:t>address the question does disclosure matter</w:t>
      </w:r>
      <w:r w:rsidR="006455C2" w:rsidRPr="00CC4E81">
        <w:rPr>
          <w:rFonts w:ascii="Times New Roman" w:eastAsia="Garamond" w:hAnsi="Times New Roman" w:cs="Times New Roman"/>
          <w:sz w:val="24"/>
          <w:szCs w:val="24"/>
          <w14:ligatures w14:val="standard"/>
        </w:rPr>
        <w:t xml:space="preserve"> in terms of performance,</w:t>
      </w:r>
      <w:r w:rsidR="00ED02EB" w:rsidRPr="00CC4E81">
        <w:rPr>
          <w:rFonts w:ascii="Times New Roman" w:eastAsia="Garamond" w:hAnsi="Times New Roman" w:cs="Times New Roman"/>
          <w:sz w:val="24"/>
          <w:szCs w:val="24"/>
          <w14:ligatures w14:val="standard"/>
        </w:rPr>
        <w:t xml:space="preserve"> we built and evaluated a novel dataset of nearly 70,000</w:t>
      </w:r>
      <w:r w:rsidR="00D71102" w:rsidRPr="00CC4E81">
        <w:rPr>
          <w:rFonts w:ascii="Times New Roman" w:eastAsia="Garamond" w:hAnsi="Times New Roman" w:cs="Times New Roman"/>
          <w:sz w:val="24"/>
          <w:szCs w:val="24"/>
          <w14:ligatures w14:val="standard"/>
        </w:rPr>
        <w:t xml:space="preserve"> (reduced via aggregation from a dataset of 350,000 inspections)</w:t>
      </w:r>
      <w:r w:rsidR="00ED02EB" w:rsidRPr="00CC4E81">
        <w:rPr>
          <w:rFonts w:ascii="Times New Roman" w:eastAsia="Garamond" w:hAnsi="Times New Roman" w:cs="Times New Roman"/>
          <w:sz w:val="24"/>
          <w:szCs w:val="24"/>
          <w14:ligatures w14:val="standard"/>
        </w:rPr>
        <w:t xml:space="preserve"> administrative actions related to </w:t>
      </w:r>
      <w:r w:rsidR="006455C2" w:rsidRPr="00CC4E81">
        <w:rPr>
          <w:rFonts w:ascii="Times New Roman" w:eastAsia="Garamond" w:hAnsi="Times New Roman" w:cs="Times New Roman"/>
          <w:sz w:val="24"/>
          <w:szCs w:val="24"/>
          <w14:ligatures w14:val="standard"/>
        </w:rPr>
        <w:t xml:space="preserve">oil and gas enforcement </w:t>
      </w:r>
      <w:r w:rsidR="00ED02EB" w:rsidRPr="00CC4E81">
        <w:rPr>
          <w:rFonts w:ascii="Times New Roman" w:eastAsia="Garamond" w:hAnsi="Times New Roman" w:cs="Times New Roman"/>
          <w:sz w:val="24"/>
          <w:szCs w:val="24"/>
          <w14:ligatures w14:val="standard"/>
        </w:rPr>
        <w:t xml:space="preserve">carried out by the Railroad Commission of Texas </w:t>
      </w:r>
      <w:r w:rsidR="006455C2" w:rsidRPr="00CC4E81">
        <w:rPr>
          <w:rFonts w:ascii="Times New Roman" w:eastAsia="Garamond" w:hAnsi="Times New Roman" w:cs="Times New Roman"/>
          <w:sz w:val="24"/>
          <w:szCs w:val="24"/>
          <w14:ligatures w14:val="standard"/>
        </w:rPr>
        <w:t xml:space="preserve">(RRC) </w:t>
      </w:r>
      <w:r w:rsidR="00ED02EB" w:rsidRPr="00CC4E81">
        <w:rPr>
          <w:rFonts w:ascii="Times New Roman" w:eastAsia="Garamond" w:hAnsi="Times New Roman" w:cs="Times New Roman"/>
          <w:sz w:val="24"/>
          <w:szCs w:val="24"/>
          <w14:ligatures w14:val="standard"/>
        </w:rPr>
        <w:t xml:space="preserve">between August 2015 and December 2023. </w:t>
      </w:r>
      <w:r w:rsidR="006455C2" w:rsidRPr="00CC4E81">
        <w:rPr>
          <w:rFonts w:ascii="Times New Roman" w:eastAsia="Garamond" w:hAnsi="Times New Roman" w:cs="Times New Roman"/>
          <w:sz w:val="24"/>
          <w:szCs w:val="24"/>
          <w14:ligatures w14:val="standard"/>
        </w:rPr>
        <w:t xml:space="preserve">Importantly, </w:t>
      </w:r>
      <w:r w:rsidR="00ED02EB" w:rsidRPr="00CC4E81">
        <w:rPr>
          <w:rFonts w:ascii="Times New Roman" w:eastAsia="Garamond" w:hAnsi="Times New Roman" w:cs="Times New Roman"/>
          <w:sz w:val="24"/>
          <w:szCs w:val="24"/>
          <w14:ligatures w14:val="standard"/>
        </w:rPr>
        <w:t>in January 2019</w:t>
      </w:r>
      <w:r w:rsidR="000B06F5" w:rsidRPr="00CC4E81">
        <w:rPr>
          <w:rFonts w:ascii="Times New Roman" w:eastAsia="Garamond" w:hAnsi="Times New Roman" w:cs="Times New Roman"/>
          <w:sz w:val="24"/>
          <w:szCs w:val="24"/>
          <w14:ligatures w14:val="standard"/>
        </w:rPr>
        <w:t>,</w:t>
      </w:r>
      <w:r w:rsidR="00ED02EB" w:rsidRPr="00CC4E81">
        <w:rPr>
          <w:rFonts w:ascii="Times New Roman" w:eastAsia="Garamond" w:hAnsi="Times New Roman" w:cs="Times New Roman"/>
          <w:sz w:val="24"/>
          <w:szCs w:val="24"/>
          <w14:ligatures w14:val="standard"/>
        </w:rPr>
        <w:t xml:space="preserve"> </w:t>
      </w:r>
      <w:r w:rsidR="006455C2" w:rsidRPr="00CC4E81">
        <w:rPr>
          <w:rFonts w:ascii="Times New Roman" w:eastAsia="Garamond" w:hAnsi="Times New Roman" w:cs="Times New Roman"/>
          <w:sz w:val="24"/>
          <w:szCs w:val="24"/>
          <w14:ligatures w14:val="standard"/>
        </w:rPr>
        <w:t>state lawmakers promulgated a policy change</w:t>
      </w:r>
      <w:r w:rsidR="000B06F5" w:rsidRPr="00CC4E81">
        <w:rPr>
          <w:rFonts w:ascii="Times New Roman" w:eastAsia="Garamond" w:hAnsi="Times New Roman" w:cs="Times New Roman"/>
          <w:sz w:val="24"/>
          <w:szCs w:val="24"/>
          <w14:ligatures w14:val="standard"/>
        </w:rPr>
        <w:t xml:space="preserve"> that</w:t>
      </w:r>
      <w:r w:rsidR="00ED02EB" w:rsidRPr="00CC4E81">
        <w:rPr>
          <w:rFonts w:ascii="Times New Roman" w:eastAsia="Garamond" w:hAnsi="Times New Roman" w:cs="Times New Roman"/>
          <w:sz w:val="24"/>
          <w:szCs w:val="24"/>
          <w14:ligatures w14:val="standard"/>
        </w:rPr>
        <w:t xml:space="preserve"> enabled citizens to access a portal that </w:t>
      </w:r>
      <w:r w:rsidR="000B06F5" w:rsidRPr="00CC4E81">
        <w:rPr>
          <w:rFonts w:ascii="Times New Roman" w:eastAsia="Garamond" w:hAnsi="Times New Roman" w:cs="Times New Roman"/>
          <w:sz w:val="24"/>
          <w:szCs w:val="24"/>
          <w14:ligatures w14:val="standard"/>
        </w:rPr>
        <w:t xml:space="preserve">allowed </w:t>
      </w:r>
      <w:r w:rsidR="00ED02EB" w:rsidRPr="00CC4E81">
        <w:rPr>
          <w:rFonts w:ascii="Times New Roman" w:eastAsia="Garamond" w:hAnsi="Times New Roman" w:cs="Times New Roman"/>
          <w:sz w:val="24"/>
          <w:szCs w:val="24"/>
          <w14:ligatures w14:val="standard"/>
        </w:rPr>
        <w:t xml:space="preserve">users to view inspection results by entering a street address. Prior to this change, </w:t>
      </w:r>
      <w:r w:rsidR="001456D4" w:rsidRPr="00CC4E81">
        <w:rPr>
          <w:rFonts w:ascii="Times New Roman" w:eastAsia="Garamond" w:hAnsi="Times New Roman" w:cs="Times New Roman"/>
          <w:sz w:val="24"/>
          <w:szCs w:val="24"/>
          <w14:ligatures w14:val="standard"/>
        </w:rPr>
        <w:t>state policy</w:t>
      </w:r>
      <w:r w:rsidR="00ED02EB" w:rsidRPr="00CC4E81">
        <w:rPr>
          <w:rFonts w:ascii="Times New Roman" w:eastAsia="Garamond" w:hAnsi="Times New Roman" w:cs="Times New Roman"/>
          <w:sz w:val="24"/>
          <w:szCs w:val="24"/>
          <w14:ligatures w14:val="standard"/>
        </w:rPr>
        <w:t xml:space="preserve"> </w:t>
      </w:r>
      <w:r w:rsidR="001456D4" w:rsidRPr="00CC4E81">
        <w:rPr>
          <w:rFonts w:ascii="Times New Roman" w:eastAsia="Garamond" w:hAnsi="Times New Roman" w:cs="Times New Roman"/>
          <w:sz w:val="24"/>
          <w:szCs w:val="24"/>
          <w14:ligatures w14:val="standard"/>
        </w:rPr>
        <w:t xml:space="preserve">required </w:t>
      </w:r>
      <w:r w:rsidR="000B06F5" w:rsidRPr="00CC4E81">
        <w:rPr>
          <w:rFonts w:ascii="Times New Roman" w:eastAsia="Garamond" w:hAnsi="Times New Roman" w:cs="Times New Roman"/>
          <w:sz w:val="24"/>
          <w:szCs w:val="24"/>
          <w14:ligatures w14:val="standard"/>
        </w:rPr>
        <w:t>that the public have access to</w:t>
      </w:r>
      <w:r w:rsidR="001456D4" w:rsidRPr="00CC4E81">
        <w:rPr>
          <w:rFonts w:ascii="Times New Roman" w:eastAsia="Garamond" w:hAnsi="Times New Roman" w:cs="Times New Roman"/>
          <w:sz w:val="24"/>
          <w:szCs w:val="24"/>
          <w14:ligatures w14:val="standard"/>
        </w:rPr>
        <w:t xml:space="preserve"> </w:t>
      </w:r>
      <w:r w:rsidR="00ED02EB" w:rsidRPr="00CC4E81">
        <w:rPr>
          <w:rFonts w:ascii="Times New Roman" w:eastAsia="Garamond" w:hAnsi="Times New Roman" w:cs="Times New Roman"/>
          <w:sz w:val="24"/>
          <w:szCs w:val="24"/>
          <w14:ligatures w14:val="standard"/>
        </w:rPr>
        <w:t xml:space="preserve">aggregated enforcement data </w:t>
      </w:r>
      <w:r w:rsidR="000B06F5" w:rsidRPr="00CC4E81">
        <w:rPr>
          <w:rFonts w:ascii="Times New Roman" w:eastAsia="Garamond" w:hAnsi="Times New Roman" w:cs="Times New Roman"/>
          <w:sz w:val="24"/>
          <w:szCs w:val="24"/>
          <w14:ligatures w14:val="standard"/>
        </w:rPr>
        <w:t xml:space="preserve">per </w:t>
      </w:r>
      <w:r w:rsidR="00ED02EB" w:rsidRPr="00CC4E81">
        <w:rPr>
          <w:rFonts w:ascii="Times New Roman" w:eastAsia="Garamond" w:hAnsi="Times New Roman" w:cs="Times New Roman"/>
          <w:sz w:val="24"/>
          <w:szCs w:val="24"/>
          <w14:ligatures w14:val="standard"/>
        </w:rPr>
        <w:t xml:space="preserve">county per year </w:t>
      </w:r>
      <w:r w:rsidR="00ED02EB"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{"citationID":"6O1cBi9O","properties":{"formattedCitation":"(Fisk, Jordan, and Good 2022)","plainCitation":"(Fisk, Jordan, and Good 2022)","noteIndex":0},"citationItems":[{"id":1739,"uris":["http://zotero.org/users/3682065/items/GQXFZ5LH"],"itemData":{"id":1739,"type":"book","event-place":"Pittsburgh, Pa","ISBN":"978-0-8229-8908-0","language":"English","number-of-pages":"1","publisher":"University of Pittsburgh Press","publisher-place":"Pittsburgh, Pa","source":"K10plus ISBN","title":"The shale renaissance: how fracking has changed Pennsylvania in the twenty-first century","title-short":"The shale renaissance","author":[{"family":"Fisk","given":"Jonathan M."},{"family":"Jordan","given":"Soren"},{"family":"Good","given":"A. J."}],"issued":{"date-parts":[["2022"]]}}}],"schema":"https://github.com/citation-style-language/schema/raw/master/csl-citation.json"} </w:instrText>
      </w:r>
      <w:r w:rsidR="00ED02EB" w:rsidRPr="00CC4E81">
        <w:rPr>
          <w:rFonts w:ascii="Times New Roman" w:eastAsia="Garamond" w:hAnsi="Times New Roman" w:cs="Times New Roman"/>
          <w:sz w:val="24"/>
          <w:szCs w:val="24"/>
        </w:rPr>
        <w:fldChar w:fldCharType="separate"/>
      </w:r>
      <w:r w:rsidR="00ED02EB" w:rsidRPr="00CC4E81">
        <w:rPr>
          <w:rFonts w:ascii="Times New Roman" w:hAnsi="Times New Roman" w:cs="Times New Roman"/>
          <w:sz w:val="24"/>
          <w:szCs w:val="24"/>
        </w:rPr>
        <w:t>(Fisk, Jordan, and Good 2022)</w:t>
      </w:r>
      <w:r w:rsidR="00ED02EB" w:rsidRPr="00CC4E81">
        <w:rPr>
          <w:rFonts w:ascii="Times New Roman" w:eastAsia="Garamond" w:hAnsi="Times New Roman" w:cs="Times New Roman"/>
          <w:sz w:val="24"/>
          <w:szCs w:val="24"/>
        </w:rPr>
        <w:fldChar w:fldCharType="end"/>
      </w:r>
      <w:r w:rsidR="00ED02EB" w:rsidRPr="00CC4E81">
        <w:rPr>
          <w:rFonts w:ascii="Times New Roman" w:eastAsia="Garamond" w:hAnsi="Times New Roman" w:cs="Times New Roman"/>
          <w:sz w:val="24"/>
          <w:szCs w:val="24"/>
          <w14:ligatures w14:val="standard"/>
        </w:rPr>
        <w:t xml:space="preserve">. </w:t>
      </w:r>
    </w:p>
    <w:p w14:paraId="2346AD8C" w14:textId="77777777" w:rsidR="00500C0B" w:rsidRPr="00CC4E81" w:rsidRDefault="00ED02EB">
      <w:pPr>
        <w:spacing w:after="0" w:line="480" w:lineRule="auto"/>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 xml:space="preserve">Disclosure Theory and Performance </w:t>
      </w:r>
    </w:p>
    <w:p w14:paraId="697CA41B" w14:textId="3E7DAD22" w:rsidR="00500C0B" w:rsidRPr="00CC4E81" w:rsidRDefault="00ED02EB">
      <w:pPr>
        <w:widowControl w:val="0"/>
        <w:spacing w:after="0" w:line="480" w:lineRule="auto"/>
        <w:ind w:firstLine="720"/>
        <w:rPr>
          <w:rFonts w:ascii="Times New Roman" w:eastAsia="Garamond" w:hAnsi="Times New Roman" w:cs="Times New Roman"/>
          <w:sz w:val="24"/>
          <w:szCs w:val="24"/>
          <w:shd w:val="clear" w:color="auto" w:fill="FFFFFF"/>
          <w14:ligatures w14:val="standard"/>
        </w:rPr>
      </w:pPr>
      <w:r w:rsidRPr="00CC4E81">
        <w:rPr>
          <w:rFonts w:ascii="Times New Roman" w:eastAsia="Garamond" w:hAnsi="Times New Roman" w:cs="Times New Roman"/>
          <w:sz w:val="24"/>
          <w:szCs w:val="24"/>
          <w14:ligatures w14:val="standard"/>
        </w:rPr>
        <w:t xml:space="preserve">Policy scholars have long recognized the </w:t>
      </w:r>
      <w:r w:rsidR="000B06F5" w:rsidRPr="00CC4E81">
        <w:rPr>
          <w:rFonts w:ascii="Times New Roman" w:eastAsia="Garamond" w:hAnsi="Times New Roman" w:cs="Times New Roman"/>
          <w:sz w:val="24"/>
          <w:szCs w:val="24"/>
          <w14:ligatures w14:val="standard"/>
        </w:rPr>
        <w:t xml:space="preserve">limitations </w:t>
      </w:r>
      <w:r w:rsidRPr="00CC4E81">
        <w:rPr>
          <w:rFonts w:ascii="Times New Roman" w:eastAsia="Garamond" w:hAnsi="Times New Roman" w:cs="Times New Roman"/>
          <w:sz w:val="24"/>
          <w:szCs w:val="24"/>
          <w14:ligatures w14:val="standard"/>
        </w:rPr>
        <w:t>of adversarial enforcement regimes</w:t>
      </w:r>
      <w:r w:rsidR="000B06F5" w:rsidRPr="00CC4E81">
        <w:rPr>
          <w:rFonts w:ascii="Times New Roman" w:eastAsia="Garamond" w:hAnsi="Times New Roman" w:cs="Times New Roman"/>
          <w:sz w:val="24"/>
          <w:szCs w:val="24"/>
          <w14:ligatures w14:val="standard"/>
        </w:rPr>
        <w:t xml:space="preserve"> ranging from inability to comprehensively </w:t>
      </w:r>
      <w:r w:rsidRPr="00CC4E81">
        <w:rPr>
          <w:rFonts w:ascii="Times New Roman" w:eastAsia="Garamond" w:hAnsi="Times New Roman" w:cs="Times New Roman"/>
          <w:sz w:val="24"/>
          <w:szCs w:val="24"/>
          <w14:ligatures w14:val="standard"/>
        </w:rPr>
        <w:t xml:space="preserve">address </w:t>
      </w:r>
      <w:r w:rsidR="000B06F5" w:rsidRPr="00CC4E81">
        <w:rPr>
          <w:rFonts w:ascii="Times New Roman" w:eastAsia="Garamond" w:hAnsi="Times New Roman" w:cs="Times New Roman"/>
          <w:sz w:val="24"/>
          <w:szCs w:val="24"/>
          <w14:ligatures w14:val="standard"/>
        </w:rPr>
        <w:t xml:space="preserve">emerging </w:t>
      </w:r>
      <w:r w:rsidRPr="00CC4E81">
        <w:rPr>
          <w:rFonts w:ascii="Times New Roman" w:eastAsia="Garamond" w:hAnsi="Times New Roman" w:cs="Times New Roman"/>
          <w:sz w:val="24"/>
          <w:szCs w:val="24"/>
          <w14:ligatures w14:val="standard"/>
        </w:rPr>
        <w:t>environmental challenges</w:t>
      </w:r>
      <w:r w:rsidR="000B06F5" w:rsidRPr="00CC4E81">
        <w:rPr>
          <w:rFonts w:ascii="Times New Roman" w:eastAsia="Garamond" w:hAnsi="Times New Roman" w:cs="Times New Roman"/>
          <w:sz w:val="24"/>
          <w:szCs w:val="24"/>
          <w14:ligatures w14:val="standard"/>
        </w:rPr>
        <w:t xml:space="preserve"> to the presence of intense and often costly </w:t>
      </w:r>
      <w:r w:rsidRPr="00CC4E81">
        <w:rPr>
          <w:rFonts w:ascii="Times New Roman" w:eastAsia="Garamond" w:hAnsi="Times New Roman" w:cs="Times New Roman"/>
          <w:sz w:val="24"/>
          <w:szCs w:val="24"/>
          <w14:ligatures w14:val="standard"/>
        </w:rPr>
        <w:t>conflict</w:t>
      </w:r>
      <w:r w:rsidR="000B06F5" w:rsidRPr="00CC4E81">
        <w:rPr>
          <w:rFonts w:ascii="Times New Roman" w:eastAsia="Garamond" w:hAnsi="Times New Roman" w:cs="Times New Roman"/>
          <w:sz w:val="24"/>
          <w:szCs w:val="24"/>
          <w14:ligatures w14:val="standard"/>
        </w:rPr>
        <w:t xml:space="preserve"> </w:t>
      </w:r>
      <w:r w:rsidR="00DA5D73"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{"citationID":"82Vqe0XE","properties":{"formattedCitation":"(Fiorino 2006)","plainCitation":"(Fiorino 2006)","noteIndex":0},"citationItems":[{"id":1784,"uris":["http://zotero.org/users/3682065/items/ALCLVD5S"],"itemData":{"id":1784,"type":"book","call-number":"KF3817 .F56 2005","event-place":"Cambridge, Mass","ISBN":"978-0-262-06256-5","number-of-pages":"290","publisher":"MIT Press","publisher-place":"Cambridge, Mass","source":"Library of Congress ISBN","title":"The new environmental regulation","author":[{"family":"Fiorino","given":"Daniel J."}],"issued":{"date-parts":[["2006"]]}}}],"schema":"https://github.com/citation-style-language/schema/raw/master/csl-citation.json"} </w:instrText>
      </w:r>
      <w:r w:rsidR="00DA5D73" w:rsidRPr="00CC4E81">
        <w:rPr>
          <w:rFonts w:ascii="Times New Roman" w:hAnsi="Times New Roman" w:cs="Times New Roman"/>
          <w:sz w:val="24"/>
          <w:szCs w:val="24"/>
        </w:rPr>
        <w:fldChar w:fldCharType="separate"/>
      </w:r>
      <w:r w:rsidR="00DA5D73" w:rsidRPr="00CC4E81">
        <w:rPr>
          <w:rFonts w:ascii="Times New Roman" w:hAnsi="Times New Roman" w:cs="Times New Roman"/>
          <w:sz w:val="24"/>
          <w:szCs w:val="24"/>
        </w:rPr>
        <w:t>(Fiorino 2006)</w:t>
      </w:r>
      <w:r w:rsidR="00DA5D73" w:rsidRPr="00CC4E81">
        <w:rPr>
          <w:rFonts w:ascii="Times New Roman"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r w:rsidR="000B06F5" w:rsidRPr="00CC4E81">
        <w:rPr>
          <w:rFonts w:ascii="Times New Roman" w:eastAsia="Garamond" w:hAnsi="Times New Roman" w:cs="Times New Roman"/>
          <w:sz w:val="24"/>
          <w:szCs w:val="24"/>
          <w14:ligatures w14:val="standard"/>
        </w:rPr>
        <w:t xml:space="preserve">The vexing nature of many of these </w:t>
      </w:r>
      <w:r w:rsidRPr="00CC4E81">
        <w:rPr>
          <w:rFonts w:ascii="Times New Roman" w:eastAsia="Garamond" w:hAnsi="Times New Roman" w:cs="Times New Roman"/>
          <w:sz w:val="24"/>
          <w:szCs w:val="24"/>
          <w14:ligatures w14:val="standard"/>
        </w:rPr>
        <w:t xml:space="preserve">challenges </w:t>
      </w:r>
      <w:r w:rsidR="000B06F5" w:rsidRPr="00CC4E81">
        <w:rPr>
          <w:rFonts w:ascii="Times New Roman" w:eastAsia="Garamond" w:hAnsi="Times New Roman" w:cs="Times New Roman"/>
          <w:sz w:val="24"/>
          <w:szCs w:val="24"/>
          <w14:ligatures w14:val="standard"/>
        </w:rPr>
        <w:t xml:space="preserve">has </w:t>
      </w:r>
      <w:r w:rsidRPr="00CC4E81">
        <w:rPr>
          <w:rFonts w:ascii="Times New Roman" w:eastAsia="Garamond" w:hAnsi="Times New Roman" w:cs="Times New Roman"/>
          <w:sz w:val="24"/>
          <w:szCs w:val="24"/>
          <w14:ligatures w14:val="standard"/>
        </w:rPr>
        <w:t xml:space="preserve">contributed to calls for alternative regulatory approaches </w:t>
      </w:r>
      <w:r w:rsidR="000B06F5" w:rsidRPr="00CC4E81">
        <w:rPr>
          <w:rFonts w:ascii="Times New Roman" w:eastAsia="Garamond" w:hAnsi="Times New Roman" w:cs="Times New Roman"/>
          <w:sz w:val="24"/>
          <w:szCs w:val="24"/>
          <w14:ligatures w14:val="standard"/>
        </w:rPr>
        <w:t>including</w:t>
      </w:r>
      <w:r w:rsidRPr="00CC4E81">
        <w:rPr>
          <w:rFonts w:ascii="Times New Roman" w:eastAsia="Garamond" w:hAnsi="Times New Roman" w:cs="Times New Roman"/>
          <w:sz w:val="24"/>
          <w:szCs w:val="24"/>
          <w14:ligatures w14:val="standard"/>
        </w:rPr>
        <w:t xml:space="preserve"> information disclosure, third-party certifications, and voluntary programs. </w:t>
      </w:r>
      <w:r w:rsidR="00775332" w:rsidRPr="00CC4E81">
        <w:rPr>
          <w:rFonts w:ascii="Times New Roman" w:eastAsia="Garamond" w:hAnsi="Times New Roman" w:cs="Times New Roman"/>
          <w:sz w:val="24"/>
          <w:szCs w:val="24"/>
          <w14:ligatures w14:val="standard"/>
        </w:rPr>
        <w:t>A</w:t>
      </w:r>
      <w:r w:rsidRPr="00CC4E81">
        <w:rPr>
          <w:rFonts w:ascii="Times New Roman" w:eastAsia="Garamond" w:hAnsi="Times New Roman" w:cs="Times New Roman"/>
          <w:sz w:val="24"/>
          <w:szCs w:val="24"/>
          <w14:ligatures w14:val="standard"/>
        </w:rPr>
        <w:t xml:space="preserve">lternatives </w:t>
      </w:r>
      <w:r w:rsidR="000B06F5" w:rsidRPr="00CC4E81">
        <w:rPr>
          <w:rFonts w:ascii="Times New Roman" w:eastAsia="Garamond" w:hAnsi="Times New Roman" w:cs="Times New Roman"/>
          <w:sz w:val="24"/>
          <w:szCs w:val="24"/>
          <w14:ligatures w14:val="standard"/>
        </w:rPr>
        <w:t xml:space="preserve">often target </w:t>
      </w:r>
      <w:r w:rsidRPr="00CC4E81">
        <w:rPr>
          <w:rFonts w:ascii="Times New Roman" w:eastAsia="Garamond" w:hAnsi="Times New Roman" w:cs="Times New Roman"/>
          <w:sz w:val="24"/>
          <w:szCs w:val="24"/>
          <w14:ligatures w14:val="standard"/>
        </w:rPr>
        <w:t>information asymmetries between regulated entities and regulators/members of the public</w:t>
      </w:r>
      <w:r w:rsidR="000B06F5" w:rsidRPr="00CC4E81">
        <w:rPr>
          <w:rFonts w:ascii="Times New Roman" w:eastAsia="Garamond" w:hAnsi="Times New Roman" w:cs="Times New Roman"/>
          <w:sz w:val="24"/>
          <w:szCs w:val="24"/>
          <w14:ligatures w14:val="standard"/>
        </w:rPr>
        <w:t xml:space="preserve"> by offering the public or consumer access to additional information</w:t>
      </w:r>
      <w:r w:rsidRPr="00CC4E81">
        <w:rPr>
          <w:rFonts w:ascii="Times New Roman" w:eastAsia="Garamond" w:hAnsi="Times New Roman" w:cs="Times New Roman"/>
          <w:sz w:val="24"/>
          <w:szCs w:val="24"/>
          <w14:ligatures w14:val="standard"/>
        </w:rPr>
        <w:t xml:space="preserv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{"citationID":"nthhmhtI","properties":{"formattedCitation":"(Li 2023; Crow, Albright, and Koebele 2020; Young 2020; Klyza and Sousa 2013; Fiorino 2006)","plainCitation":"(Li 2023; Crow, Albright, and Koebele 2020; Young 2020; Klyza and Sousa 2013; Fiorino 2006)","noteIndex":0},"citationItems":[{"id":1747,"uris":["http://zotero.org/users/3682065/items/7CJM9QIP"],"itemData":{"id":1747,"type":"article-journal","abstract":"Abstract\n            Information disclosure has become a ubiquitous component of contemporary governance. This study examines how disclosure of information about the performance of regulated entities, which also implicates the performance of relevant government agencies, affects bureaucratic behaviors. In the context of the Clean Air Act (CAA)—the primary law that regulates air pollution in the United States—this study shows that regulators significantly increased CAA regulatory inspections on facilities that started to disclose relevant performance information to the public following the requirements of the Toxics Release Inventory (TRI), which is a major environmental information disclosure program in the United States. Additional analyses suggest the increase was because of the disclosure providing new information to regulators instead of mobilizing citizen actions. The findings suggest that performance information about regulated entities can alleviate information asymmetry between bureaucrats and regulated entities and increase the accountability of regulated entities as well as relevant government agencies.","container-title":"Public Administration Review","DOI":"10.1111/puar.13636","ISSN":"0033-3352, 1540-6210","issue":"4","journalAbbreviation":"Public Administration Review","language":"en","page":"750-762","source":"DOI.org (Crossref)","title":"Bureaucratic response to performance information: how mandatory information disclosure affects environmental inspections","title-short":"Bureaucratic response to performance information","volume":"83","author":[{"family":"Li","given":"Zhengyan"}],"issued":{"date-parts":[["2023",7]]}}},{"id":1600,"uris":["http://zotero.org/users/3682065/items/TZNZ2S3F"],"itemData":{"id":1600,"type":"article-journal","abstract":"Despite sustained attention to the role of stakeholders in policymaking—both in legislative and regulatory venues—we lack a systematic understanding of whether and when stakeholders wield influence over decisions. This is particularly true regarding state‐level rulemaking in the United States, which has become an important venue of policy action as federal policymaking is increasingly stymied. Although the specifics of the rulemaking process vary to some degree across states, determining whether common patterns of stakeholder influence exist across states and issue areas can advance our understanding of regulatory institutions more broadly. This study contributes to the growing body of scholarship on state‐level rulemaking by analyzing the ways in which stakeholders participate in rulemaking processes and the effects on rulemaking decisions of such participation in three policy domains across five states. We find that while industry may be influential during rulemaking across cases, consequential opportunities for non‐industry stakeholders to influence regulatory decisions also exist.\n          , \n            </w:instrText>
      </w:r>
      <w:r w:rsidR="003B0A34" w:rsidRPr="00CC4E81">
        <w:rPr>
          <w:rFonts w:ascii="Times New Roman" w:eastAsia="MS Mincho" w:hAnsi="Times New Roman" w:cs="Times New Roman"/>
          <w:sz w:val="24"/>
          <w:szCs w:val="24"/>
        </w:rPr>
        <w:instrText>尽管我</w:instrText>
      </w:r>
      <w:r w:rsidR="003B0A34" w:rsidRPr="00CC4E81">
        <w:rPr>
          <w:rFonts w:ascii="Times New Roman" w:eastAsia="SimSun" w:hAnsi="Times New Roman" w:cs="Times New Roman"/>
          <w:sz w:val="24"/>
          <w:szCs w:val="24"/>
        </w:rPr>
        <w:instrText>们对利益相关者在立法和监管领域的政策制定中所起的作用保持着关注，但是，对于利益相关者是否以及何时对决策施加影响的这一问题，</w:instrText>
      </w:r>
      <w:r w:rsidR="003B0A34" w:rsidRPr="00CC4E81">
        <w:rPr>
          <w:rFonts w:ascii="Times New Roman" w:eastAsia="Garamond" w:hAnsi="Times New Roman" w:cs="Times New Roman"/>
          <w:sz w:val="24"/>
          <w:szCs w:val="24"/>
        </w:rPr>
        <w:instrText xml:space="preserve"> </w:instrText>
      </w:r>
      <w:r w:rsidR="003B0A34" w:rsidRPr="00CC4E81">
        <w:rPr>
          <w:rFonts w:ascii="Times New Roman" w:eastAsia="MS Mincho" w:hAnsi="Times New Roman" w:cs="Times New Roman"/>
          <w:sz w:val="24"/>
          <w:szCs w:val="24"/>
        </w:rPr>
        <w:instrText>我</w:instrText>
      </w:r>
      <w:r w:rsidR="003B0A34" w:rsidRPr="00CC4E81">
        <w:rPr>
          <w:rFonts w:ascii="Times New Roman" w:eastAsia="SimSun" w:hAnsi="Times New Roman" w:cs="Times New Roman"/>
          <w:sz w:val="24"/>
          <w:szCs w:val="24"/>
        </w:rPr>
        <w:instrText>们仍缺乏系统性的理解，尤其是对美国州级的规则制定。由于联邦政策制定日益受到阻碍，州级政策制定已成为政策活动的重要场所。尽管规则制定过程的具体细节在各州之间存在一定程度的差异，但是，确定利益相关者在各州以及不同问题上的影响是否存在共同的模式，可以使我们对监管机构有更全面的了解。通过分析跨越五个州以及三个政策领域的利益相关者参与规则制定过程的方式，以及他们的参与对规则制定决策带来的影响，该研究为在州级规则制定上越来越多的学术研究做出了贡献。我们发现，虽然工业在各案例中的规则制定过程中影响显著，但非工业的利益相关者也对监管决策产生了重要影响。</w:instrText>
      </w:r>
      <w:r w:rsidR="003B0A34" w:rsidRPr="00CC4E81">
        <w:rPr>
          <w:rFonts w:ascii="Times New Roman" w:eastAsia="Garamond" w:hAnsi="Times New Roman" w:cs="Times New Roman"/>
          <w:sz w:val="24"/>
          <w:szCs w:val="24"/>
        </w:rPr>
        <w:instrText xml:space="preserve">","container-title":"Policy Studies Journal","DOI":"10.1111/psj.12314","ISSN":"0190-292X, 1541-0072","issue":"4","journalAbbreviation":"Policy Studies Journal","language":"English","page":"953-981","source":"DOI.org (Crossref)","title":"Evaluating Stakeholder Participation and Influence on State‐Level Rulemaking","volume":"48","author":[{"family":"Crow","given":"Deserai A."},{"family":"Albright","given":"Elizabeth A."},{"family":"Koebele","given":"Elizabeth"}],"issued":{"date-parts":[["2020",11]]}}},{"id":1749,"uris":["http://zotero.org/users/3682065/items/PZHLCGBY"],"itemData":{"id":1749,"type":"article-journal","abstract":"Abstract\n            \n              This article examines the institutional factors that influence the implementation of open data platforms in U.S. cities. Public management scholarship has argued that governance can be transformed by new information technologies that improve transparency and engagement, reduce administrative costs, and support performance management systems. However, this argument ignores key risks for administrators, as well as institutional and political obstacles that can thwart implementation. This article uses hierarchical negative binomial regression to analyze the organizational and institutional features influencing implementation in more than 1,500 departments across 60 cities. Department type and administrative capacity are strongly associated with the number of open data files available, while city‐level institutional characteristics and administrative capacity are not significant factors. Municipal demographics are also identified as a factor, suggesting a potential demand‐side influence from wealthy and technologically proficient residents.\n            \n            \n              Evidence for Practice\n              \n                \n                  The implementation of open data policies benefits from targeted approaches at the department level rather than uniform, citywide objectives or requirements.\n                \n                \n                  City executive‐level positions such as chief data or information officers are not necessarily associated with successful implementation, measured by the number of open data files made available.\n                \n                \n                  Open data implementation involves additional administrative responsibilities and labor at the department level, so city administrators looking to expand the number and variety of data sets available through their open data platforms should devote time and resources to working directly with departments to facilitate and encourage data sharing.\n                \n                \n                  Administrators looking to expand the number and variety of data sets available through their open data platforms should consider the costs associated with investing in increasing individual departments’ abilities to balance the additional administrative responsibilities and labor involved.","container-title":"Public Administration Review","DOI":"10.1111/puar.13156","ISSN":"0033-3352, 1540-6210","issue":"2","journalAbbreviation":"Public Administration Review","language":"en","page":"305-315","source":"DOI.org (Crossref)","title":"Implementation of Digital‐Era Governance: The Case of Open Data in U.S. Cities","title-short":"Implementation of Digital‐Era Governance","volume":"80","author":[{"family":"Young","given":"Matthew M."}],"issued":{"date-parts":[["2020",3]]}}},{"id":1787,"uris":["http://zotero.org/users/3682065/items/WX3JXURJ"],"itemData":{"id":1787,"type":"book","collection-title":"American and comparative environmental policy","edition":"Updated and expanded edition","event-place":"Cambridge, Mass. London","ISBN":"978-0-262-52504-6","language":"eng","number-of-pages":"426","publisher":"MIT Press","publisher-place":"Cambridge, Mass. London","source":"K10plus ISBN","title":"American Environmental Policy: Beyond Gridlock","title-short":"American Environmental Policy","author":[{"family":"Klyza","given":"Christopher McGrory"},{"family":"Sousa","given":"David J."}],"issued":{"date-parts":[["2013"]]}}},{"id":1784,"uris":["http://zotero.org/users/3682065/items/ALCLVD5S"],"itemData":{"id":1784,"type":"book","call-number":"KF3817 .F56 2005","event-place":"Cambridge, Mass","ISBN":"978-0-262-06256-5","number-of-pages":"290","publisher":"MIT Press","publisher-place":"Cambridge, Mass","source":"Library of Congress ISBN","title":"The new environmental regulation","author":[{"family":"Fiorino","given":"Daniel J."}],"issued":{"date-parts":[["2006"]]}}}],"schema":"https://github.com/citation-style-language/schema/raw/master/csl-citation.json"}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(Li 2023; Crow, Albright, and Koebele 2020; Young 2020; Klyza and Sousa 2013; Fiorino 2006)</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As with other environmental </w:t>
      </w:r>
      <w:r w:rsidRPr="00CC4E81">
        <w:rPr>
          <w:rFonts w:ascii="Times New Roman" w:eastAsia="Garamond" w:hAnsi="Times New Roman" w:cs="Times New Roman"/>
          <w:sz w:val="24"/>
          <w:szCs w:val="24"/>
          <w14:ligatures w14:val="standard"/>
        </w:rPr>
        <w:lastRenderedPageBreak/>
        <w:t xml:space="preserve">issues, oil and gas enforcement data has strategic value, meaning that the availability of such information may generate changes in </w:t>
      </w:r>
      <w:r w:rsidR="000B06F5" w:rsidRPr="00CC4E81">
        <w:rPr>
          <w:rFonts w:ascii="Times New Roman" w:eastAsia="Garamond" w:hAnsi="Times New Roman" w:cs="Times New Roman"/>
          <w:sz w:val="24"/>
          <w:szCs w:val="24"/>
          <w14:ligatures w14:val="standard"/>
        </w:rPr>
        <w:t>performance</w:t>
      </w:r>
      <w:r w:rsidRPr="00CC4E81">
        <w:rPr>
          <w:rFonts w:ascii="Times New Roman" w:eastAsia="Garamond" w:hAnsi="Times New Roman" w:cs="Times New Roman"/>
          <w:sz w:val="24"/>
          <w:szCs w:val="24"/>
          <w14:ligatures w14:val="standard"/>
        </w:rPr>
        <w:t xml:space="preserve">. </w:t>
      </w:r>
    </w:p>
    <w:p w14:paraId="6DB08E40" w14:textId="5C4FFD08" w:rsidR="00500C0B" w:rsidRPr="00CC4E81" w:rsidRDefault="000B06F5" w:rsidP="005F3FAB">
      <w:pPr>
        <w:spacing w:after="0" w:line="480" w:lineRule="auto"/>
        <w:ind w:firstLine="720"/>
        <w:rPr>
          <w:rFonts w:ascii="Times New Roman" w:hAnsi="Times New Roman" w:cs="Times New Roman"/>
          <w:sz w:val="24"/>
          <w:szCs w:val="24"/>
        </w:rPr>
      </w:pPr>
      <w:r w:rsidRPr="00CC4E81">
        <w:rPr>
          <w:rFonts w:ascii="Times New Roman" w:eastAsia="Garamond" w:hAnsi="Times New Roman" w:cs="Times New Roman"/>
          <w:sz w:val="24"/>
          <w:szCs w:val="24"/>
          <w14:ligatures w14:val="standard"/>
        </w:rPr>
        <w:t>Information disclosure has a clear logic</w:t>
      </w:r>
      <w:r w:rsidR="005F3FAB" w:rsidRPr="00CC4E81">
        <w:rPr>
          <w:rFonts w:ascii="Times New Roman" w:eastAsia="Garamond" w:hAnsi="Times New Roman" w:cs="Times New Roman"/>
          <w:sz w:val="24"/>
          <w:szCs w:val="24"/>
          <w14:ligatures w14:val="standard"/>
        </w:rPr>
        <w:t xml:space="preserve"> </w:t>
      </w:r>
      <w:r w:rsidR="005F3FAB"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{"citationID":"LXJGutVu","properties":{"formattedCitation":"(Li 2023; Fisk, Jordan, and Good 2022)","plainCitation":"(Li 2023; Fisk, Jordan, and Good 2022)","noteIndex":0},"citationItems":[{"id":1747,"uris":["http://zotero.org/users/3682065/items/7CJM9QIP"],"itemData":{"id":1747,"type":"article-journal","abstract":"Abstract\n            Information disclosure has become a ubiquitous component of contemporary governance. This study examines how disclosure of information about the performance of regulated entities, which also implicates the performance of relevant government agencies, affects bureaucratic behaviors. In the context of the Clean Air Act (CAA)—the primary law that regulates air pollution in the United States—this study shows that regulators significantly increased CAA regulatory inspections on facilities that started to disclose relevant performance information to the public following the requirements of the Toxics Release Inventory (TRI), which is a major environmental information disclosure program in the United States. Additional analyses suggest the increase was because of the disclosure providing new information to regulators instead of mobilizing citizen actions. The findings suggest that performance information about regulated entities can alleviate information asymmetry between bureaucrats and regulated entities and increase the accountability of regulated entities as well as relevant government agencies.","container-title":"Public Administration Review","DOI":"10.1111/puar.13636","ISSN":"0033-3352, 1540-6210","issue":"4","journalAbbreviation":"Public Administration Review","language":"en","page":"750-762","source":"DOI.org (Crossref)","title":"Bureaucratic response to performance information: how mandatory information disclosure affects environmental inspections","title-short":"Bureaucratic response to performance information","volume":"83","author":[{"family":"Li","given":"Zhengyan"}],"issued":{"date-parts":[["2023",7]]}}},{"id":1739,"uris":["http://zotero.org/users/3682065/items/GQXFZ5LH"],"itemData":{"id":1739,"type":"book","event-place":"Pittsburgh, Pa","ISBN":"978-0-8229-8908-0","language":"English","number-of-pages":"1","publisher":"University of Pittsburgh Press","publisher-place":"Pittsburgh, Pa","source":"K10plus ISBN","title":"The shale renaissance: how fracking has changed Pennsylvania in the twenty-first century","title-short":"The shale renaissance","author":[{"family":"Fisk","given":"Jonathan M."},{"family":"Jordan","given":"Soren"},{"family":"Good","given":"A. J."}],"issued":{"date-parts":[["2022"]]}},"label":"page"}],"schema":"https://github.com/citation-style-language/schema/raw/master/csl-citation.json"} </w:instrText>
      </w:r>
      <w:r w:rsidR="005F3FAB" w:rsidRPr="00CC4E81">
        <w:rPr>
          <w:rFonts w:ascii="Times New Roman" w:eastAsia="Garamond" w:hAnsi="Times New Roman" w:cs="Times New Roman"/>
          <w:sz w:val="24"/>
          <w:szCs w:val="24"/>
        </w:rPr>
        <w:fldChar w:fldCharType="separate"/>
      </w:r>
      <w:r w:rsidR="00672ACA" w:rsidRPr="00CC4E81">
        <w:rPr>
          <w:rFonts w:ascii="Times New Roman" w:hAnsi="Times New Roman" w:cs="Times New Roman"/>
          <w:sz w:val="24"/>
          <w:szCs w:val="24"/>
        </w:rPr>
        <w:t>(Li 2023; Fisk, Jordan, and Good 2022)</w:t>
      </w:r>
      <w:r w:rsidR="005F3FAB"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At </w:t>
      </w:r>
      <w:r w:rsidR="00775332" w:rsidRPr="00CC4E81">
        <w:rPr>
          <w:rFonts w:ascii="Times New Roman" w:eastAsia="Garamond" w:hAnsi="Times New Roman" w:cs="Times New Roman"/>
          <w:sz w:val="24"/>
          <w:szCs w:val="24"/>
          <w14:ligatures w14:val="standard"/>
        </w:rPr>
        <w:t>its</w:t>
      </w:r>
      <w:r w:rsidRPr="00CC4E81">
        <w:rPr>
          <w:rFonts w:ascii="Times New Roman" w:eastAsia="Garamond" w:hAnsi="Times New Roman" w:cs="Times New Roman"/>
          <w:sz w:val="24"/>
          <w:szCs w:val="24"/>
          <w14:ligatures w14:val="standard"/>
        </w:rPr>
        <w:t xml:space="preserve"> core, disclosure impact</w:t>
      </w:r>
      <w:r w:rsidR="00775332" w:rsidRPr="00CC4E81">
        <w:rPr>
          <w:rFonts w:ascii="Times New Roman" w:eastAsia="Garamond" w:hAnsi="Times New Roman" w:cs="Times New Roman"/>
          <w:sz w:val="24"/>
          <w:szCs w:val="24"/>
          <w14:ligatures w14:val="standard"/>
        </w:rPr>
        <w:t>s</w:t>
      </w:r>
      <w:r w:rsidRPr="00CC4E81">
        <w:rPr>
          <w:rFonts w:ascii="Times New Roman" w:eastAsia="Garamond" w:hAnsi="Times New Roman" w:cs="Times New Roman"/>
          <w:sz w:val="24"/>
          <w:szCs w:val="24"/>
          <w14:ligatures w14:val="standard"/>
        </w:rPr>
        <w:t xml:space="preserve"> performance by evening the playing field between polluters and impacted stakeholders/communities via access to previously hidden or unknown information. This</w:t>
      </w:r>
      <w:r w:rsidR="00775332" w:rsidRPr="00CC4E81">
        <w:rPr>
          <w:rFonts w:ascii="Times New Roman" w:eastAsia="Garamond" w:hAnsi="Times New Roman" w:cs="Times New Roman"/>
          <w:sz w:val="24"/>
          <w:szCs w:val="24"/>
          <w14:ligatures w14:val="standard"/>
        </w:rPr>
        <w:t xml:space="preserve"> newly available</w:t>
      </w:r>
      <w:r w:rsidRPr="00CC4E81">
        <w:rPr>
          <w:rFonts w:ascii="Times New Roman" w:eastAsia="Garamond" w:hAnsi="Times New Roman" w:cs="Times New Roman"/>
          <w:sz w:val="24"/>
          <w:szCs w:val="24"/>
          <w14:ligatures w14:val="standard"/>
        </w:rPr>
        <w:t xml:space="preserve"> information</w:t>
      </w:r>
      <w:r w:rsidR="00775332" w:rsidRPr="00CC4E81">
        <w:rPr>
          <w:rFonts w:ascii="Times New Roman" w:eastAsia="Garamond" w:hAnsi="Times New Roman" w:cs="Times New Roman"/>
          <w:sz w:val="24"/>
          <w:szCs w:val="24"/>
          <w14:ligatures w14:val="standard"/>
        </w:rPr>
        <w:t xml:space="preserve"> </w:t>
      </w:r>
      <w:r w:rsidRPr="00CC4E81">
        <w:rPr>
          <w:rFonts w:ascii="Times New Roman" w:eastAsia="Garamond" w:hAnsi="Times New Roman" w:cs="Times New Roman"/>
          <w:sz w:val="24"/>
          <w:szCs w:val="24"/>
          <w14:ligatures w14:val="standard"/>
        </w:rPr>
        <w:t xml:space="preserve">can then be used to push for preferred policies or to shame the regulated entity or agency into improving its performance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{"citationID":"ILH9J0Ao","properties":{"formattedCitation":"(Niles and Lubell 2012; Hamilton 2005)","plainCitation":"(Niles and Lubell 2012; Hamilton 2005)","noteIndex":0},"citationItems":[{"id":1594,"uris":["http://zotero.org/users/3682065/items/ZJWJXPB6","http://zotero.org/users/3682065/items/K43F9KIB"],"itemData":{"id":1594,"type":"article-journal","abstract":"Environmental policy research continues to advance toward a more Kuhnian “normal” science where theory and empirical tools are brought to bear on real‐world policy systems to better understand social processes and determine the context in which policies work best. Traditional environmental policy tools now involve more flexible market‐based instruments, voluntary agreements, and information provision tools like ecolabels and sustainability indicators. Policy process theories continue to be refined through hypothesis testing and are evolving into more integrative and multidisciplinary frameworks. Interdisciplinary methods are also being employed to better measure and analyze environmental outcomes, which has always been a major challenge in environmental policy research. These research tools are being explored in emerging policy approaches like collaborative partnerships and with novel environmental issues like climate change adaptation, pharmaceuticals and personal care products, and nanotechnology.","container-title":"Policy Studies Journal","DOI":"10.1111/j.1541-0072.2012.00445.x","ISSN":"0190-292X, 1541-0072","issue":"s1","journalAbbreviation":"Policy Studies Journal","language":"English","page":"41-64","source":"DOI.org (Crossref)","title":"Integrative Frontiers in Environmental Policy Theory and Research","volume":"40","author":[{"family":"Niles","given":"Meredith T."},{"family":"Lubell","given":"Mark"}],"issued":{"date-parts":[["2012",4]]}}},{"id":1805,"uris":["http://zotero.org/users/3682065/items/PIYJFGUV"],"itemData":{"id":1805,"type":"book","archive_location":"WOS:000305480900001","ISBN":"978-0-521-85530-3","language":"English","note":"page: +\nDOI: 10.1596/978-0-8213-7891-5","number-of-pages":"1","title":"Regulation through Revelation The Origin, Politics, and Impacts of the Toxics Release Inventory Program Introduction","author":[{"family":"Hamilton","given":"JT"}],"issued":{"date-parts":[["2005"]]}}}],"schema":"https://github.com/citation-style-language/schema/raw/master/csl-citation.json"} </w:instrText>
      </w:r>
      <w:r w:rsidRPr="00CC4E81">
        <w:rPr>
          <w:rFonts w:ascii="Times New Roman" w:eastAsia="Garamond" w:hAnsi="Times New Roman" w:cs="Times New Roman"/>
          <w:sz w:val="24"/>
          <w:szCs w:val="24"/>
        </w:rPr>
        <w:fldChar w:fldCharType="separate"/>
      </w:r>
      <w:r w:rsidR="00672ACA" w:rsidRPr="00CC4E81">
        <w:rPr>
          <w:rFonts w:ascii="Times New Roman" w:hAnsi="Times New Roman" w:cs="Times New Roman"/>
          <w:sz w:val="24"/>
          <w:szCs w:val="24"/>
        </w:rPr>
        <w:t>(Niles and Lubell 2012; Hamilton 2005)</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r w:rsidR="002024ED" w:rsidRPr="00CC4E81">
        <w:rPr>
          <w:rFonts w:ascii="Times New Roman" w:eastAsia="Garamond" w:hAnsi="Times New Roman" w:cs="Times New Roman"/>
          <w:sz w:val="24"/>
          <w:szCs w:val="24"/>
          <w14:ligatures w14:val="standard"/>
        </w:rPr>
        <w:t>Regardless of the how the information is</w:t>
      </w:r>
      <w:r w:rsidR="007D1191" w:rsidRPr="00CC4E81">
        <w:rPr>
          <w:rFonts w:ascii="Times New Roman" w:eastAsia="Garamond" w:hAnsi="Times New Roman" w:cs="Times New Roman"/>
          <w:sz w:val="24"/>
          <w:szCs w:val="24"/>
          <w14:ligatures w14:val="standard"/>
        </w:rPr>
        <w:t xml:space="preserve"> ultimately</w:t>
      </w:r>
      <w:r w:rsidR="002024ED" w:rsidRPr="00CC4E81">
        <w:rPr>
          <w:rFonts w:ascii="Times New Roman" w:eastAsia="Garamond" w:hAnsi="Times New Roman" w:cs="Times New Roman"/>
          <w:sz w:val="24"/>
          <w:szCs w:val="24"/>
          <w14:ligatures w14:val="standard"/>
        </w:rPr>
        <w:t xml:space="preserve"> used, disclosure</w:t>
      </w:r>
      <w:r w:rsidRPr="00CC4E81">
        <w:rPr>
          <w:rFonts w:ascii="Times New Roman" w:eastAsia="Garamond" w:hAnsi="Times New Roman" w:cs="Times New Roman"/>
          <w:sz w:val="24"/>
          <w:szCs w:val="24"/>
          <w14:ligatures w14:val="standard"/>
        </w:rPr>
        <w:t xml:space="preserve"> explicitly relies on the idea that access to information is asymmetric and</w:t>
      </w:r>
      <w:r w:rsidR="002024ED" w:rsidRPr="00CC4E81">
        <w:rPr>
          <w:rFonts w:ascii="Times New Roman" w:eastAsia="Garamond" w:hAnsi="Times New Roman" w:cs="Times New Roman"/>
          <w:sz w:val="24"/>
          <w:szCs w:val="24"/>
          <w14:ligatures w14:val="standard"/>
        </w:rPr>
        <w:t xml:space="preserve"> that it</w:t>
      </w:r>
      <w:r w:rsidRPr="00CC4E81">
        <w:rPr>
          <w:rFonts w:ascii="Times New Roman" w:eastAsia="Garamond" w:hAnsi="Times New Roman" w:cs="Times New Roman"/>
          <w:sz w:val="24"/>
          <w:szCs w:val="24"/>
          <w14:ligatures w14:val="standard"/>
        </w:rPr>
        <w:t xml:space="preserve"> holds strategic value</w:t>
      </w:r>
      <w:r w:rsidR="002024ED" w:rsidRPr="00CC4E81">
        <w:rPr>
          <w:rFonts w:ascii="Times New Roman" w:eastAsia="Garamond" w:hAnsi="Times New Roman" w:cs="Times New Roman"/>
          <w:sz w:val="24"/>
          <w:szCs w:val="24"/>
          <w14:ligatures w14:val="standard"/>
        </w:rPr>
        <w:t xml:space="preserve"> to stakeholders</w:t>
      </w:r>
      <w:r w:rsidRPr="00CC4E81">
        <w:rPr>
          <w:rFonts w:ascii="Times New Roman" w:eastAsia="Garamond" w:hAnsi="Times New Roman" w:cs="Times New Roman"/>
          <w:sz w:val="24"/>
          <w:szCs w:val="24"/>
          <w14:ligatures w14:val="standard"/>
        </w:rPr>
        <w:t xml:space="preserv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{"citationID":"2TpPiuxn","properties":{"formattedCitation":"(Cherone 2023; see also: Moody 2023; Newsome 2021)","plainCitation":"(Cherone 2023; see also: Moody 2023; Newsome 2021)","noteIndex":0},"citationItems":[{"id":1438,"uris":["http://zotero.org/users/3682065/items/MQSR6TZP"],"itemData":{"id":1438,"type":"webpage","abstract":"Representatives of Bayer, which now owns Monsanto, said Chicago's lawsuit was “meritless” because the company never manufactured or disposed PCBs in or near the Chicago area.","container-title":"WTTW News","language":"English","title":"Chicago Sues Monsanto for Polluting City’s Air, Water, Soil with Toxic Chemicals","URL":"https://news.wttw.com/2023/09/20/chicago-sues-monsanto-polluting-city-s-air-water-soil-toxic-chemicals","author":[{"family":"Cherone","given":"Heather"}],"accessed":{"date-parts":[["2024",3,9]]},"issued":{"date-parts":[["2023",9,20]]}}},{"id":1441,"uris":["http://zotero.org/users/3682065/items/VCFTQZXJ"],"itemData":{"id":1441,"type":"webpage","abstract":"This month is the twentieth anniversary of a legal settlement in the town of Anniston. Two companies agreed to pay over six hundred million dollars to thousands of residents in that community northeast of Birmingham. The issue was over health problems allegedly caused by chemicals called Polychlorinated biphenyls or PCBs for short. Anniston residents complained of health problems ranging from cancer to neurological effects. They blamed PCBs produced at a local factory for these illnesses","container-title":"Alabama Public Radio","genre":"Broadcast transcript","language":"English","note":"section: News","title":"\"Bad Chemistry,\" An APR News Series-- \"Anniston and Monsanto: Twenty Years Later\"","title-short":"\"Bad Chemistry,\" An APR News Series-- \"Anniston and Monsanto","URL":"https://www.apr.org/news/2023-08-24/anniston-and-monsanto-twenty-years-later","author":[{"family":"Moody","given":"Joe"}],"accessed":{"date-parts":[["2024",3,9]]},"issued":{"date-parts":[["2023",8,24]]}},"label":"page","prefix":"see also:"},{"id":1437,"uris":["http://zotero.org/users/3682065/items/Z6RVVWDU"],"itemData":{"id":1437,"type":"webpage","abstract":"Courts agree that people who live near industrial hog farms continue to suffer harm, but it's increasingly difficult to get justice.","container-title":"North Carolina Health News","language":"English","title":"Decades of legal battles over pollution by industrial hog farms haven’t changed much for eastern NC residents burdened by environmental racism","URL":"http://www.northcarolinahealthnews.org/2021/10/29/legal-battles-over-pollution-from-hog-waste-environmental-racism-havent-changed-much/","author":[{"family":"Newsome","given":"Melba"}],"accessed":{"date-parts":[["2024",3,9]]},"issued":{"date-parts":[["2021",10,29]]}}}],"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(Cherone 2023; see also: Moody 2023; Newsome 2021)</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p>
    <w:p w14:paraId="294E236A" w14:textId="7DC1B554" w:rsidR="00500C0B" w:rsidRPr="00CC4E81" w:rsidRDefault="00ED02EB">
      <w:pPr>
        <w:spacing w:after="0" w:line="480" w:lineRule="auto"/>
        <w:ind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 xml:space="preserve">The literature, however, notes that mere access to information is often </w:t>
      </w:r>
      <w:r w:rsidR="008E25E9" w:rsidRPr="00CC4E81">
        <w:rPr>
          <w:rFonts w:ascii="Times New Roman" w:eastAsia="Garamond" w:hAnsi="Times New Roman" w:cs="Times New Roman"/>
          <w:sz w:val="24"/>
          <w:szCs w:val="24"/>
          <w14:ligatures w14:val="standard"/>
        </w:rPr>
        <w:t>in</w:t>
      </w:r>
      <w:r w:rsidRPr="00CC4E81">
        <w:rPr>
          <w:rFonts w:ascii="Times New Roman" w:eastAsia="Garamond" w:hAnsi="Times New Roman" w:cs="Times New Roman"/>
          <w:sz w:val="24"/>
          <w:szCs w:val="24"/>
          <w14:ligatures w14:val="standard"/>
        </w:rPr>
        <w:t xml:space="preserve">sufficient to </w:t>
      </w:r>
      <w:r w:rsidR="008E25E9" w:rsidRPr="00CC4E81">
        <w:rPr>
          <w:rFonts w:ascii="Times New Roman" w:eastAsia="Garamond" w:hAnsi="Times New Roman" w:cs="Times New Roman"/>
          <w:sz w:val="24"/>
          <w:szCs w:val="24"/>
          <w14:ligatures w14:val="standard"/>
        </w:rPr>
        <w:t xml:space="preserve">induce </w:t>
      </w:r>
      <w:r w:rsidR="007D1191" w:rsidRPr="00CC4E81">
        <w:rPr>
          <w:rFonts w:ascii="Times New Roman" w:eastAsia="Garamond" w:hAnsi="Times New Roman" w:cs="Times New Roman"/>
          <w:sz w:val="24"/>
          <w:szCs w:val="24"/>
          <w14:ligatures w14:val="standard"/>
        </w:rPr>
        <w:t>behavioral</w:t>
      </w:r>
      <w:r w:rsidR="008E25E9" w:rsidRPr="00CC4E81">
        <w:rPr>
          <w:rFonts w:ascii="Times New Roman" w:eastAsia="Garamond" w:hAnsi="Times New Roman" w:cs="Times New Roman"/>
          <w:sz w:val="24"/>
          <w:szCs w:val="24"/>
          <w14:ligatures w14:val="standard"/>
        </w:rPr>
        <w:t xml:space="preserve"> </w:t>
      </w:r>
      <w:r w:rsidRPr="00CC4E81">
        <w:rPr>
          <w:rFonts w:ascii="Times New Roman" w:eastAsia="Garamond" w:hAnsi="Times New Roman" w:cs="Times New Roman"/>
          <w:sz w:val="24"/>
          <w:szCs w:val="24"/>
          <w14:ligatures w14:val="standard"/>
        </w:rPr>
        <w:t xml:space="preserve">change. As such, effective disclosure strategies </w:t>
      </w:r>
      <w:r w:rsidR="00775332" w:rsidRPr="00CC4E81">
        <w:rPr>
          <w:rFonts w:ascii="Times New Roman" w:eastAsia="Garamond" w:hAnsi="Times New Roman" w:cs="Times New Roman"/>
          <w:sz w:val="24"/>
          <w:szCs w:val="24"/>
          <w14:ligatures w14:val="standard"/>
        </w:rPr>
        <w:t xml:space="preserve">often </w:t>
      </w:r>
      <w:r w:rsidRPr="00CC4E81">
        <w:rPr>
          <w:rFonts w:ascii="Times New Roman" w:eastAsia="Garamond" w:hAnsi="Times New Roman" w:cs="Times New Roman"/>
          <w:sz w:val="24"/>
          <w:szCs w:val="24"/>
          <w14:ligatures w14:val="standard"/>
        </w:rPr>
        <w:t>have mechanisms for discovering</w:t>
      </w:r>
      <w:r w:rsidR="007D1191" w:rsidRPr="00CC4E81">
        <w:rPr>
          <w:rFonts w:ascii="Times New Roman" w:eastAsia="Garamond" w:hAnsi="Times New Roman" w:cs="Times New Roman"/>
          <w:sz w:val="24"/>
          <w:szCs w:val="24"/>
          <w14:ligatures w14:val="standard"/>
        </w:rPr>
        <w:t>, comparing,</w:t>
      </w:r>
      <w:r w:rsidRPr="00CC4E81">
        <w:rPr>
          <w:rFonts w:ascii="Times New Roman" w:eastAsia="Garamond" w:hAnsi="Times New Roman" w:cs="Times New Roman"/>
          <w:sz w:val="24"/>
          <w:szCs w:val="24"/>
          <w14:ligatures w14:val="standard"/>
        </w:rPr>
        <w:t xml:space="preserve"> disseminating</w:t>
      </w:r>
      <w:r w:rsidR="007D1191" w:rsidRPr="00CC4E81">
        <w:rPr>
          <w:rFonts w:ascii="Times New Roman" w:eastAsia="Garamond" w:hAnsi="Times New Roman" w:cs="Times New Roman"/>
          <w:sz w:val="24"/>
          <w:szCs w:val="24"/>
          <w14:ligatures w14:val="standard"/>
        </w:rPr>
        <w:t>, and evaluating</w:t>
      </w:r>
      <w:r w:rsidRPr="00CC4E81">
        <w:rPr>
          <w:rFonts w:ascii="Times New Roman" w:eastAsia="Garamond" w:hAnsi="Times New Roman" w:cs="Times New Roman"/>
          <w:sz w:val="24"/>
          <w:szCs w:val="24"/>
          <w14:ligatures w14:val="standard"/>
        </w:rPr>
        <w:t xml:space="preserve"> </w:t>
      </w:r>
      <w:r w:rsidR="007D1191" w:rsidRPr="00CC4E81">
        <w:rPr>
          <w:rFonts w:ascii="Times New Roman" w:eastAsia="Garamond" w:hAnsi="Times New Roman" w:cs="Times New Roman"/>
          <w:sz w:val="24"/>
          <w:szCs w:val="24"/>
          <w14:ligatures w14:val="standard"/>
        </w:rPr>
        <w:t xml:space="preserve">information </w:t>
      </w:r>
      <w:r w:rsidRPr="00CC4E81">
        <w:rPr>
          <w:rFonts w:ascii="Times New Roman" w:eastAsia="Garamond" w:hAnsi="Times New Roman" w:cs="Times New Roman"/>
          <w:sz w:val="24"/>
          <w:szCs w:val="24"/>
          <w14:ligatures w14:val="standard"/>
        </w:rPr>
        <w:t>through media outlets or trusted third partie</w:t>
      </w:r>
      <w:r w:rsidR="007D1191" w:rsidRPr="00CC4E81">
        <w:rPr>
          <w:rFonts w:ascii="Times New Roman" w:eastAsia="Garamond" w:hAnsi="Times New Roman" w:cs="Times New Roman"/>
          <w:sz w:val="24"/>
          <w:szCs w:val="24"/>
          <w14:ligatures w14:val="standard"/>
        </w:rPr>
        <w:t xml:space="preserve">s. </w:t>
      </w:r>
      <w:r w:rsidR="00775332" w:rsidRPr="00CC4E81">
        <w:rPr>
          <w:rFonts w:ascii="Times New Roman" w:eastAsia="Garamond" w:hAnsi="Times New Roman" w:cs="Times New Roman"/>
          <w:sz w:val="24"/>
          <w:szCs w:val="24"/>
          <w14:ligatures w14:val="standard"/>
        </w:rPr>
        <w:t xml:space="preserve">In general, scholars have found that the </w:t>
      </w:r>
      <w:r w:rsidRPr="00CC4E81">
        <w:rPr>
          <w:rFonts w:ascii="Times New Roman" w:eastAsia="Garamond" w:hAnsi="Times New Roman" w:cs="Times New Roman"/>
          <w:sz w:val="24"/>
          <w:szCs w:val="24"/>
          <w14:ligatures w14:val="standard"/>
        </w:rPr>
        <w:t>information</w:t>
      </w:r>
      <w:r w:rsidR="007D1191" w:rsidRPr="00CC4E81">
        <w:rPr>
          <w:rFonts w:ascii="Times New Roman" w:eastAsia="Garamond" w:hAnsi="Times New Roman" w:cs="Times New Roman"/>
          <w:sz w:val="24"/>
          <w:szCs w:val="24"/>
          <w14:ligatures w14:val="standard"/>
        </w:rPr>
        <w:t xml:space="preserve"> has direct implications for stakeholders,</w:t>
      </w:r>
      <w:r w:rsidRPr="00CC4E81">
        <w:rPr>
          <w:rFonts w:ascii="Times New Roman" w:eastAsia="Garamond" w:hAnsi="Times New Roman" w:cs="Times New Roman"/>
          <w:sz w:val="24"/>
          <w:szCs w:val="24"/>
          <w14:ligatures w14:val="standard"/>
        </w:rPr>
        <w:t xml:space="preserve"> or is shameful</w:t>
      </w:r>
      <w:r w:rsidR="007D1191" w:rsidRPr="00CC4E81">
        <w:rPr>
          <w:rFonts w:ascii="Times New Roman" w:eastAsia="Garamond" w:hAnsi="Times New Roman" w:cs="Times New Roman"/>
          <w:sz w:val="24"/>
          <w:szCs w:val="24"/>
          <w14:ligatures w14:val="standard"/>
        </w:rPr>
        <w:t xml:space="preserve"> </w:t>
      </w:r>
      <w:r w:rsidRPr="00CC4E81">
        <w:rPr>
          <w:rFonts w:ascii="Times New Roman" w:eastAsia="Garamond" w:hAnsi="Times New Roman" w:cs="Times New Roman"/>
          <w:sz w:val="24"/>
          <w:szCs w:val="24"/>
          <w14:ligatures w14:val="standard"/>
        </w:rPr>
        <w:t xml:space="preserve">to the impacted entity, </w:t>
      </w:r>
      <w:r w:rsidR="007D1191" w:rsidRPr="00CC4E81">
        <w:rPr>
          <w:rFonts w:ascii="Times New Roman" w:eastAsia="Garamond" w:hAnsi="Times New Roman" w:cs="Times New Roman"/>
          <w:sz w:val="24"/>
          <w:szCs w:val="24"/>
          <w14:ligatures w14:val="standard"/>
        </w:rPr>
        <w:t>it is more likely to contribute to</w:t>
      </w:r>
      <w:r w:rsidRPr="00CC4E81">
        <w:rPr>
          <w:rFonts w:ascii="Times New Roman" w:eastAsia="Garamond" w:hAnsi="Times New Roman" w:cs="Times New Roman"/>
          <w:sz w:val="24"/>
          <w:szCs w:val="24"/>
          <w14:ligatures w14:val="standard"/>
        </w:rPr>
        <w:t xml:space="preserve"> behavior</w:t>
      </w:r>
      <w:r w:rsidR="007D1191" w:rsidRPr="00CC4E81">
        <w:rPr>
          <w:rFonts w:ascii="Times New Roman" w:eastAsia="Garamond" w:hAnsi="Times New Roman" w:cs="Times New Roman"/>
          <w:sz w:val="24"/>
          <w:szCs w:val="24"/>
          <w14:ligatures w14:val="standard"/>
        </w:rPr>
        <w:t>al change</w:t>
      </w:r>
      <w:r w:rsidRPr="00CC4E81">
        <w:rPr>
          <w:rFonts w:ascii="Times New Roman" w:eastAsia="Garamond" w:hAnsi="Times New Roman" w:cs="Times New Roman"/>
          <w:sz w:val="24"/>
          <w:szCs w:val="24"/>
          <w14:ligatures w14:val="standard"/>
        </w:rPr>
        <w:t xml:space="preserv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{"citationID":"LxBYjyat","properties":{"formattedCitation":"(Prakash and Potoski 2007)","plainCitation":"(Prakash and Potoski 2007)","noteIndex":0},"citationItems":[{"id":509,"uris":["http://zotero.org/users/3682065/items/JG9PNXJB"],"itemData":{"id":509,"type":"article-journal","abstract":"Voluntary environmental programs are institutions that seek to induce firms to produce positive environmental externalities beyond what government regulations require. Drawing on club theory, this paper outlines a theoretical perspective to study the relationship between program design and program effectiveness. Effective programs have rule structures that mitigate two central collective action problems inherent in producing positive environmental externalities: attracting firms to participate in the program and ensuring that participating firms adhere to program obligations. Because program efficacy can be undermined by collective action problems associated with free riding and shirking, effective! voluntary clubs should be designed to mitigate these challenges.","archive_location":"WOS:000251930300012","container-title":"Policy Studies Journal","DOI":"10.1111/j.1541-0072.2007.00247.x","ISSN":"0190-292X","issue":"4","journalAbbreviation":"Policy Studies Journal","language":"English","page":"773-792","title":"Collective Action through Voluntary Environmental Programs: A Club Theory Perspective","volume":"35","author":[{"family":"Prakash","given":"A"},{"family":"Potoski","given":"M"}],"issued":{"date-parts":[["2007",11]]}}}],"schema":"https://github.com/citation-style-language/schema/raw/master/csl-citation.json"}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(Prakash and Potoski 2007)</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Noonan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{"citationID":"AsubCfqr","properties":{"formattedCitation":"(2014)","plainCitation":"(2014)","noteIndex":0},"citationItems":[{"id":1598,"uris":["http://zotero.org/users/3682065/items/NNI55FPU"],"itemData":{"id":1598,"type":"article-journal","abstract":"Metropolitan smog alerts are prominent public information campaigns designed to enhance public health and to curb driving and other emissions. Unlike many other voluntary information‐based environmental policies, air quality alerts target household behavior via forecast information about ambient concentrations rather than firm or product characteristics. This paper explores behaviors with high emissions (driving) and with high exposure (outdoor recreation) and underscores the difference between altruistic and risk aversion motivations. Behavioral impacts are identified using the threshold nature of daily air quality forecasts. A regression discontinuity (\n              RD\n              ) design finds elderly users and exercisers tend to curtail their use of a major park following smog alerts. The\n              RD\n              design also reveals that households do not drive less on smog alert days. Juxtaposing high emissions behavior with high exposure behavior in the same study highlights how public forecast information may better trigger some responses and struggle to trigger others.","container-title":"Policy Studies Journal","DOI":"10.1111/psj.12045","ISSN":"0190-292X, 1541-0072","issue":"1","journalAbbreviation":"Policy Studies Journal","language":"English","page":"122-145","source":"DOI.org (Crossref)","title":"Smoggy with a Chance of Altruism: The Effects of Ozone Alerts on Outdoor Recreation and Driving in Atlanta","title-short":"Smoggy with a Chance of Altruism","volume":"42","author":[{"family":"Noonan","given":"Douglas S."}],"issued":{"date-parts":[["2014",2]]}},"label":"page","suppress-author":true}],"schema":"https://github.com/citation-style-language/schema/raw/master/csl-citation.json"}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(2014)</w:t>
      </w:r>
      <w:r w:rsidRPr="00CC4E81">
        <w:rPr>
          <w:rFonts w:ascii="Times New Roman" w:eastAsia="Garamond" w:hAnsi="Times New Roman" w:cs="Times New Roman"/>
          <w:sz w:val="24"/>
          <w:szCs w:val="24"/>
        </w:rPr>
        <w:fldChar w:fldCharType="end"/>
      </w:r>
      <w:r w:rsidR="007D1191" w:rsidRPr="00CC4E81">
        <w:rPr>
          <w:rFonts w:ascii="Times New Roman" w:eastAsia="Garamond" w:hAnsi="Times New Roman" w:cs="Times New Roman"/>
          <w:sz w:val="24"/>
          <w:szCs w:val="24"/>
        </w:rPr>
        <w:t>, for example,</w:t>
      </w:r>
      <w:r w:rsidRPr="00CC4E81">
        <w:rPr>
          <w:rFonts w:ascii="Times New Roman" w:eastAsia="Garamond" w:hAnsi="Times New Roman" w:cs="Times New Roman"/>
          <w:sz w:val="24"/>
          <w:szCs w:val="24"/>
          <w14:ligatures w14:val="standard"/>
        </w:rPr>
        <w:t xml:space="preserve"> found evidence that the public does respond to information disclosure regarding environmental impacts, </w:t>
      </w:r>
      <w:r w:rsidR="007D1191" w:rsidRPr="00CC4E81">
        <w:rPr>
          <w:rFonts w:ascii="Times New Roman" w:eastAsia="Garamond" w:hAnsi="Times New Roman" w:cs="Times New Roman"/>
          <w:sz w:val="24"/>
          <w:szCs w:val="24"/>
          <w14:ligatures w14:val="standard"/>
        </w:rPr>
        <w:t xml:space="preserve">especially </w:t>
      </w:r>
      <w:r w:rsidRPr="00CC4E81">
        <w:rPr>
          <w:rFonts w:ascii="Times New Roman" w:eastAsia="Garamond" w:hAnsi="Times New Roman" w:cs="Times New Roman"/>
          <w:sz w:val="24"/>
          <w:szCs w:val="24"/>
          <w14:ligatures w14:val="standard"/>
        </w:rPr>
        <w:t>when</w:t>
      </w:r>
      <w:r w:rsidR="007D1191" w:rsidRPr="00CC4E81">
        <w:rPr>
          <w:rFonts w:ascii="Times New Roman" w:eastAsia="Garamond" w:hAnsi="Times New Roman" w:cs="Times New Roman"/>
          <w:sz w:val="24"/>
          <w:szCs w:val="24"/>
          <w14:ligatures w14:val="standard"/>
        </w:rPr>
        <w:t xml:space="preserve"> the information relates </w:t>
      </w:r>
      <w:r w:rsidRPr="00CC4E81">
        <w:rPr>
          <w:rFonts w:ascii="Times New Roman" w:eastAsia="Garamond" w:hAnsi="Times New Roman" w:cs="Times New Roman"/>
          <w:sz w:val="24"/>
          <w:szCs w:val="24"/>
          <w14:ligatures w14:val="standard"/>
        </w:rPr>
        <w:t>to personal risk</w:t>
      </w:r>
      <w:r w:rsidR="00775332" w:rsidRPr="00CC4E81">
        <w:rPr>
          <w:rFonts w:ascii="Times New Roman" w:eastAsia="Garamond" w:hAnsi="Times New Roman" w:cs="Times New Roman"/>
          <w:sz w:val="24"/>
          <w:szCs w:val="24"/>
          <w14:ligatures w14:val="standard"/>
        </w:rPr>
        <w:t xml:space="preserve"> exposure</w:t>
      </w:r>
      <w:r w:rsidRPr="00CC4E81">
        <w:rPr>
          <w:rFonts w:ascii="Times New Roman" w:eastAsia="Garamond" w:hAnsi="Times New Roman" w:cs="Times New Roman"/>
          <w:sz w:val="24"/>
          <w:szCs w:val="24"/>
          <w14:ligatures w14:val="standard"/>
        </w:rPr>
        <w:t xml:space="preserve">. </w:t>
      </w:r>
      <w:r w:rsidR="00775332" w:rsidRPr="00CC4E81">
        <w:rPr>
          <w:rFonts w:ascii="Times New Roman" w:eastAsia="Garamond" w:hAnsi="Times New Roman" w:cs="Times New Roman"/>
          <w:sz w:val="24"/>
          <w:szCs w:val="24"/>
          <w14:ligatures w14:val="standard"/>
        </w:rPr>
        <w:t>This particular</w:t>
      </w:r>
      <w:r w:rsidRPr="00CC4E81">
        <w:rPr>
          <w:rFonts w:ascii="Times New Roman" w:eastAsia="Garamond" w:hAnsi="Times New Roman" w:cs="Times New Roman"/>
          <w:sz w:val="24"/>
          <w:szCs w:val="24"/>
          <w14:ligatures w14:val="standard"/>
        </w:rPr>
        <w:t xml:space="preserve"> study examined a municipal-level alert system in Atlanta that condenses the information in the form of a </w:t>
      </w:r>
      <w:r w:rsidR="007D1191" w:rsidRPr="00CC4E81">
        <w:rPr>
          <w:rFonts w:ascii="Times New Roman" w:eastAsia="Garamond" w:hAnsi="Times New Roman" w:cs="Times New Roman"/>
          <w:sz w:val="24"/>
          <w:szCs w:val="24"/>
          <w14:ligatures w14:val="standard"/>
        </w:rPr>
        <w:t xml:space="preserve">easy to understand </w:t>
      </w:r>
      <w:r w:rsidRPr="00CC4E81">
        <w:rPr>
          <w:rFonts w:ascii="Times New Roman" w:eastAsia="Garamond" w:hAnsi="Times New Roman" w:cs="Times New Roman"/>
          <w:sz w:val="24"/>
          <w:szCs w:val="24"/>
          <w14:ligatures w14:val="standard"/>
        </w:rPr>
        <w:t xml:space="preserve">forecast alert rather than </w:t>
      </w:r>
      <w:r w:rsidR="007D1191" w:rsidRPr="00CC4E81">
        <w:rPr>
          <w:rFonts w:ascii="Times New Roman" w:eastAsia="Garamond" w:hAnsi="Times New Roman" w:cs="Times New Roman"/>
          <w:sz w:val="24"/>
          <w:szCs w:val="24"/>
          <w14:ligatures w14:val="standard"/>
        </w:rPr>
        <w:t xml:space="preserve">place-based </w:t>
      </w:r>
      <w:r w:rsidRPr="00CC4E81">
        <w:rPr>
          <w:rFonts w:ascii="Times New Roman" w:eastAsia="Garamond" w:hAnsi="Times New Roman" w:cs="Times New Roman"/>
          <w:sz w:val="24"/>
          <w:szCs w:val="24"/>
          <w14:ligatures w14:val="standard"/>
        </w:rPr>
        <w:t xml:space="preserve">data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{"citationID":"Eq7myvRy","properties":{"formattedCitation":"(Noonan 2014, 122\\uc0\\u8211{}23)","plainCitation":"(Noonan 2014, 122–23)","noteIndex":0},"citationItems":[{"id":1598,"uris":["http://zotero.org/users/3682065/items/NNI55FPU"],"itemData":{"id":1598,"type":"article-journal","abstract":"Metropolitan smog alerts are prominent public information campaigns designed to enhance public health and to curb driving and other emissions. Unlike many other voluntary information‐based environmental policies, air quality alerts target household behavior via forecast information about ambient concentrations rather than firm or product characteristics. This paper explores behaviors with high emissions (driving) and with high exposure (outdoor recreation) and underscores the difference between altruistic and risk aversion motivations. Behavioral impacts are identified using the threshold nature of daily air quality forecasts. A regression discontinuity (\n              RD\n              ) design finds elderly users and exercisers tend to curtail their use of a major park following smog alerts. The\n              RD\n              design also reveals that households do not drive less on smog alert days. Juxtaposing high emissions behavior with high exposure behavior in the same study highlights how public forecast information may better trigger some responses and struggle to trigger others.","container-title":"Policy Studies Journal","DOI":"10.1111/psj.12045","ISSN":"0190-292X, 1541-0072","issue":"1","journalAbbreviation":"Policy Studies Journal","language":"English","page":"122-145","source":"DOI.org (Crossref)","title":"Smoggy with a Chance of Altruism: The Effects of Ozone Alerts on Outdoor Recreation and Driving in Atlanta","title-short":"Smoggy with a Chance of Altruism","volume":"42","author":[{"family":"Noonan","given":"Douglas S."}],"issued":{"date-parts":[["2014",2]]}},"locator":"122-123","label":"page"}],"schema":"https://github.com/citation-style-language/schema/raw/master/csl-citation.json"}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(Noonan 2014, 122–23)</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p>
    <w:p w14:paraId="35B15E38" w14:textId="78EBA839" w:rsidR="00500C0B" w:rsidRPr="00CC4E81" w:rsidRDefault="005675A6" w:rsidP="007465C1">
      <w:pPr>
        <w:spacing w:after="0" w:line="480" w:lineRule="auto"/>
        <w:ind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R</w:t>
      </w:r>
      <w:r w:rsidR="00ED02EB" w:rsidRPr="00CC4E81">
        <w:rPr>
          <w:rFonts w:ascii="Times New Roman" w:eastAsia="Garamond" w:hAnsi="Times New Roman" w:cs="Times New Roman"/>
          <w:sz w:val="24"/>
          <w:szCs w:val="24"/>
          <w14:ligatures w14:val="standard"/>
        </w:rPr>
        <w:t>esearch</w:t>
      </w:r>
      <w:r w:rsidRPr="00CC4E81">
        <w:rPr>
          <w:rFonts w:ascii="Times New Roman" w:eastAsia="Garamond" w:hAnsi="Times New Roman" w:cs="Times New Roman"/>
          <w:sz w:val="24"/>
          <w:szCs w:val="24"/>
          <w14:ligatures w14:val="standard"/>
        </w:rPr>
        <w:t>ers</w:t>
      </w:r>
      <w:r w:rsidR="00ED02EB" w:rsidRPr="00CC4E81">
        <w:rPr>
          <w:rFonts w:ascii="Times New Roman" w:eastAsia="Garamond" w:hAnsi="Times New Roman" w:cs="Times New Roman"/>
          <w:sz w:val="24"/>
          <w:szCs w:val="24"/>
          <w14:ligatures w14:val="standard"/>
        </w:rPr>
        <w:t xml:space="preserve"> </w:t>
      </w:r>
      <w:r w:rsidRPr="00CC4E81">
        <w:rPr>
          <w:rFonts w:ascii="Times New Roman" w:eastAsia="Garamond" w:hAnsi="Times New Roman" w:cs="Times New Roman"/>
          <w:sz w:val="24"/>
          <w:szCs w:val="24"/>
          <w14:ligatures w14:val="standard"/>
        </w:rPr>
        <w:t xml:space="preserve">have </w:t>
      </w:r>
      <w:r w:rsidR="00ED02EB" w:rsidRPr="00CC4E81">
        <w:rPr>
          <w:rFonts w:ascii="Times New Roman" w:eastAsia="Garamond" w:hAnsi="Times New Roman" w:cs="Times New Roman"/>
          <w:sz w:val="24"/>
          <w:szCs w:val="24"/>
          <w14:ligatures w14:val="standard"/>
        </w:rPr>
        <w:t>also focused on</w:t>
      </w:r>
      <w:r w:rsidRPr="00CC4E81">
        <w:rPr>
          <w:rFonts w:ascii="Times New Roman" w:eastAsia="Garamond" w:hAnsi="Times New Roman" w:cs="Times New Roman"/>
          <w:sz w:val="24"/>
          <w:szCs w:val="24"/>
          <w14:ligatures w14:val="standard"/>
        </w:rPr>
        <w:t xml:space="preserve"> the dynamics between disclosure and</w:t>
      </w:r>
      <w:r w:rsidR="00ED02EB" w:rsidRPr="00CC4E81">
        <w:rPr>
          <w:rFonts w:ascii="Times New Roman" w:eastAsia="Garamond" w:hAnsi="Times New Roman" w:cs="Times New Roman"/>
          <w:sz w:val="24"/>
          <w:szCs w:val="24"/>
          <w14:ligatures w14:val="standard"/>
        </w:rPr>
        <w:t xml:space="preserve"> firm</w:t>
      </w:r>
      <w:r w:rsidRPr="00CC4E81">
        <w:rPr>
          <w:rFonts w:ascii="Times New Roman" w:eastAsia="Garamond" w:hAnsi="Times New Roman" w:cs="Times New Roman"/>
          <w:sz w:val="24"/>
          <w:szCs w:val="24"/>
          <w14:ligatures w14:val="standard"/>
        </w:rPr>
        <w:t>-</w:t>
      </w:r>
      <w:r w:rsidR="00ED02EB" w:rsidRPr="00CC4E81">
        <w:rPr>
          <w:rFonts w:ascii="Times New Roman" w:eastAsia="Garamond" w:hAnsi="Times New Roman" w:cs="Times New Roman"/>
          <w:sz w:val="24"/>
          <w:szCs w:val="24"/>
          <w14:ligatures w14:val="standard"/>
        </w:rPr>
        <w:t xml:space="preserve">level </w:t>
      </w:r>
      <w:r w:rsidRPr="00CC4E81">
        <w:rPr>
          <w:rFonts w:ascii="Times New Roman" w:eastAsia="Garamond" w:hAnsi="Times New Roman" w:cs="Times New Roman"/>
          <w:sz w:val="24"/>
          <w:szCs w:val="24"/>
          <w14:ligatures w14:val="standard"/>
        </w:rPr>
        <w:t>outputs</w:t>
      </w:r>
      <w:r w:rsidR="00ED02EB" w:rsidRPr="00CC4E81">
        <w:rPr>
          <w:rFonts w:ascii="Times New Roman" w:eastAsia="Garamond" w:hAnsi="Times New Roman" w:cs="Times New Roman"/>
          <w:sz w:val="24"/>
          <w:szCs w:val="24"/>
          <w14:ligatures w14:val="standard"/>
        </w:rPr>
        <w:t>. Extant studies suggest that disclosure programs have enjoyed mixed and, in some cases, confounding results</w:t>
      </w:r>
      <w:r w:rsidRPr="00CC4E81">
        <w:rPr>
          <w:rFonts w:ascii="Times New Roman" w:eastAsia="Garamond" w:hAnsi="Times New Roman" w:cs="Times New Roman"/>
          <w:sz w:val="24"/>
          <w:szCs w:val="24"/>
          <w14:ligatures w14:val="standard"/>
        </w:rPr>
        <w:t xml:space="preserve"> </w:t>
      </w:r>
      <w:r w:rsidR="00ED02EB"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{"citationID":"3i4Bse6k","properties":{"formattedCitation":"(Mason 2020; Lim and Prakash 2014)","plainCitation":"(Mason 2020; Lim and Prakash 2014)","noteIndex":0},"citationItems":[{"id":1770,"uris":["http://zotero.org/users/3682065/items/N39TYJZ9"],"itemData":{"id":1770,"type":"article-journal","container-title":"Journal of Environmental Policy &amp; Planning","DOI":"10.1080/1523908X.2019.1661231","ISSN":"1523-908X, 1522-7200","issue":"1","journalAbbreviation":"Journal of Environmental Policy &amp; Planning","language":"en","page":"98-111","source":"DOI.org (Crossref)","title":"Transparency, accountability and empowerment in sustainability governance: a conceptual review","title-short":"Transparency, accountability and empowerment in sustainability governance","volume":"22","author":[{"family":"Mason","given":"Michael"}],"issued":{"date-parts":[["2020",1,2]]}}},{"id":1768,"uris":["http://zotero.org/users/3682065/items/GGWQPFWU"],"itemData":{"id":1768,"type":"article-journal","abstract":"Governments enact environmental regulations to compel firms to internalize pollution externalities. Critics contend that regulations encourage technological lock‐ins and stifle innovation. Challenging this view, the Porter‐Linde hypothesis suggests that appropriately designed regulations can spur innovation because (1) pollution reflects resource waste; (2) regulations focus firms’ attention on waste; and (3) with regulation‐induced focus, firms are incentivized to innovate to reduce waste. This article explores the regulation–innovation linkage in the context of voluntary regulations. The authors focus on\n                ISO\n                14001, the most widely adopted voluntary environmental program in the world. Examining a panel of 79 countries for the period 1996–2009, they find that country‐level\n                ISO\n                14001 participation is a significant predictor of a country's environmental patent applications, a standard proxy for innovation activity. The policy implication is that public managers should consider voluntary regulation's second‐order effects on innovation, beyond their first‐order effects on pollution and regulatory compliance.","container-title":"Public Administration Review","DOI":"10.1111/puar.12189","ISSN":"0033-3352, 1540-6210","issue":"2","journalAbbreviation":"Public Administration Review","language":"en","license":"http://onlinelibrary.wiley.com/termsAndConditions#vor","page":"233-244","source":"DOI.org (Crossref)","title":"Voluntary Regulations and Innovation: The Case of &lt;span style=\"font-variant:small-caps;\"&gt;ISO&lt;/span&gt; 14001","title-short":"Voluntary Regulations and Innovation","volume":"74","author":[{"family":"Lim","given":"Sijeong"},{"family":"Prakash","given":"Aseem"}],"issued":{"date-parts":[["2014",3]]}}}],"schema":"https://github.com/citation-style-language/schema/raw/master/csl-citation.json"} </w:instrText>
      </w:r>
      <w:r w:rsidR="00ED02EB" w:rsidRPr="00CC4E81">
        <w:rPr>
          <w:rFonts w:ascii="Times New Roman" w:eastAsia="Garamond" w:hAnsi="Times New Roman" w:cs="Times New Roman"/>
          <w:sz w:val="24"/>
          <w:szCs w:val="24"/>
        </w:rPr>
        <w:fldChar w:fldCharType="separate"/>
      </w:r>
      <w:r w:rsidR="00ED02EB" w:rsidRPr="00CC4E81">
        <w:rPr>
          <w:rFonts w:ascii="Times New Roman" w:hAnsi="Times New Roman" w:cs="Times New Roman"/>
          <w:sz w:val="24"/>
          <w:szCs w:val="24"/>
        </w:rPr>
        <w:t>(Mason 2020; Lim and Prakash 2014)</w:t>
      </w:r>
      <w:r w:rsidR="00ED02EB" w:rsidRPr="00CC4E81">
        <w:rPr>
          <w:rFonts w:ascii="Times New Roman" w:eastAsia="Garamond" w:hAnsi="Times New Roman" w:cs="Times New Roman"/>
          <w:sz w:val="24"/>
          <w:szCs w:val="24"/>
        </w:rPr>
        <w:fldChar w:fldCharType="end"/>
      </w:r>
      <w:r w:rsidR="00ED02EB" w:rsidRPr="00CC4E81">
        <w:rPr>
          <w:rFonts w:ascii="Times New Roman" w:eastAsia="Garamond" w:hAnsi="Times New Roman" w:cs="Times New Roman"/>
          <w:sz w:val="24"/>
          <w:szCs w:val="24"/>
          <w14:ligatures w14:val="standard"/>
        </w:rPr>
        <w:t xml:space="preserve">. An example often studied in the </w:t>
      </w:r>
      <w:r w:rsidR="00ED02EB" w:rsidRPr="00CC4E81">
        <w:rPr>
          <w:rFonts w:ascii="Times New Roman" w:eastAsia="Garamond" w:hAnsi="Times New Roman" w:cs="Times New Roman"/>
          <w:sz w:val="24"/>
          <w:szCs w:val="24"/>
          <w14:ligatures w14:val="standard"/>
        </w:rPr>
        <w:lastRenderedPageBreak/>
        <w:t xml:space="preserve">literature has been the Environmental Protection Agency’s (or EPA) Toxic Release Inventory (or TRI) </w:t>
      </w:r>
      <w:r w:rsidR="00ED02EB"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{"citationID":"1duAzjw8","properties":{"formattedCitation":"(Tietenberg 1998; Abel, Stephan, and Kraft 2007)","plainCitation":"(Tietenberg 1998; Abel, Stephan, and Kraft 2007)","noteIndex":0},"citationItems":[{"id":1435,"uris":["http://zotero.org/users/3682065/items/PHLU7UDN"],"itemData":{"id":1435,"type":"article-journal","container-title":"Environmental and Resource Economics","DOI":"10.1023/A:1008291411492","ISSN":"09246460","issue":"3/4","page":"587-602","source":"DOI.org (Crossref)","title":"Disclosure Strategies for Pollution Control","volume":"11","author":[{"family":"Tietenberg","given":"Tom"}],"issued":{"date-parts":[["1998"]]}}},{"id":1422,"uris":["http://zotero.org/users/3682065/items/CMBBFK3K"],"itemData":{"id":1422,"type":"article-journal","container-title":"State and Local Government Review","DOI":"10.1177/0160323X0703900304","ISSN":"0160-323X, 1943-3409","issue":"3","journalAbbreviation":"State and Local Government Review","language":"English","page":"153-165","source":"DOI.org (Crossref)","title":"Environmental Information Disclosure and Risk Reduction among the States","volume":"39","author":[{"family":"Abel","given":"Troy D."},{"family":"Stephan","given":"Mark"},{"family":"Kraft","given":"Michael E."}],"issued":{"date-parts":[["2007",9]]}}}],"schema":"https://github.com/citation-style-language/schema/raw/master/csl-citation.json"} </w:instrText>
      </w:r>
      <w:r w:rsidR="00ED02EB" w:rsidRPr="00CC4E81">
        <w:rPr>
          <w:rFonts w:ascii="Times New Roman" w:eastAsia="Garamond" w:hAnsi="Times New Roman" w:cs="Times New Roman"/>
          <w:sz w:val="24"/>
          <w:szCs w:val="24"/>
        </w:rPr>
        <w:fldChar w:fldCharType="separate"/>
      </w:r>
      <w:r w:rsidR="00ED02EB" w:rsidRPr="00CC4E81">
        <w:rPr>
          <w:rFonts w:ascii="Times New Roman" w:hAnsi="Times New Roman" w:cs="Times New Roman"/>
          <w:sz w:val="24"/>
          <w:szCs w:val="24"/>
        </w:rPr>
        <w:t>(Tietenberg 1998; Abel, Stephan, and Kraft 2007)</w:t>
      </w:r>
      <w:r w:rsidR="00ED02EB" w:rsidRPr="00CC4E81">
        <w:rPr>
          <w:rFonts w:ascii="Times New Roman" w:eastAsia="Garamond" w:hAnsi="Times New Roman" w:cs="Times New Roman"/>
          <w:sz w:val="24"/>
          <w:szCs w:val="24"/>
        </w:rPr>
        <w:fldChar w:fldCharType="end"/>
      </w:r>
      <w:r w:rsidR="00ED02EB" w:rsidRPr="00CC4E81">
        <w:rPr>
          <w:rFonts w:ascii="Times New Roman" w:eastAsia="Garamond" w:hAnsi="Times New Roman" w:cs="Times New Roman"/>
          <w:sz w:val="24"/>
          <w:szCs w:val="24"/>
          <w14:ligatures w14:val="standard"/>
        </w:rPr>
        <w:t xml:space="preserve">. In the decade following the program’s enactment, the EPA reported a 44% reduction in toxic emissions by firms using or processing </w:t>
      </w:r>
      <w:r w:rsidR="00F607FD" w:rsidRPr="00CC4E81">
        <w:rPr>
          <w:rFonts w:ascii="Times New Roman" w:eastAsia="Garamond" w:hAnsi="Times New Roman" w:cs="Times New Roman"/>
          <w:sz w:val="24"/>
          <w:szCs w:val="24"/>
          <w14:ligatures w14:val="standard"/>
        </w:rPr>
        <w:t>TRI-</w:t>
      </w:r>
      <w:r w:rsidR="00ED02EB" w:rsidRPr="00CC4E81">
        <w:rPr>
          <w:rFonts w:ascii="Times New Roman" w:eastAsia="Garamond" w:hAnsi="Times New Roman" w:cs="Times New Roman"/>
          <w:sz w:val="24"/>
          <w:szCs w:val="24"/>
          <w14:ligatures w14:val="standard"/>
        </w:rPr>
        <w:t xml:space="preserve">listed chemicals </w:t>
      </w:r>
      <w:r w:rsidR="009E73F9" w:rsidRPr="00CC4E81">
        <w:rPr>
          <w:rFonts w:ascii="Times New Roman" w:eastAsia="Garamond" w:hAnsi="Times New Roman" w:cs="Times New Roman"/>
          <w:sz w:val="24"/>
          <w:szCs w:val="24"/>
          <w14:ligatures w14:val="standard"/>
        </w:rPr>
        <w:fldChar w:fldCharType="begin"/>
      </w:r>
      <w:r w:rsidR="009E73F9" w:rsidRPr="00CC4E81">
        <w:rPr>
          <w:rFonts w:ascii="Times New Roman" w:eastAsia="Garamond" w:hAnsi="Times New Roman" w:cs="Times New Roman"/>
          <w:sz w:val="24"/>
          <w:szCs w:val="24"/>
          <w14:ligatures w14:val="standard"/>
        </w:rPr>
        <w:instrText xml:space="preserve"> ADDIN ZOTERO_ITEM CSL_CITATION {"citationID":"aBITbQ0d","properties":{"formattedCitation":"(Tietenberg 1998, 593)","plainCitation":"(Tietenberg 1998, 593)","noteIndex":0},"citationItems":[{"id":1435,"uris":["http://zotero.org/users/3682065/items/PHLU7UDN"],"itemData":{"id":1435,"type":"article-journal","container-title":"Environmental and Resource Economics","DOI":"10.1023/A:1008291411492","ISSN":"09246460","issue":"3/4","page":"587-602","source":"DOI.org (Crossref)","title":"Disclosure Strategies for Pollution Control","volume":"11","author":[{"family":"Tietenberg","given":"Tom"}],"issued":{"date-parts":[["1998"]]}},"locator":"593","label":"page"}],"schema":"https://github.com/citation-style-language/schema/raw/master/csl-citation.json"} </w:instrText>
      </w:r>
      <w:r w:rsidR="009E73F9" w:rsidRPr="00CC4E81">
        <w:rPr>
          <w:rFonts w:ascii="Times New Roman" w:eastAsia="Garamond" w:hAnsi="Times New Roman" w:cs="Times New Roman"/>
          <w:sz w:val="24"/>
          <w:szCs w:val="24"/>
          <w14:ligatures w14:val="standard"/>
        </w:rPr>
        <w:fldChar w:fldCharType="separate"/>
      </w:r>
      <w:r w:rsidR="009E73F9" w:rsidRPr="00CC4E81">
        <w:rPr>
          <w:rFonts w:ascii="Times New Roman" w:hAnsi="Times New Roman" w:cs="Times New Roman"/>
          <w:sz w:val="24"/>
        </w:rPr>
        <w:t>(Tietenberg 1998, 593)</w:t>
      </w:r>
      <w:r w:rsidR="009E73F9" w:rsidRPr="00CC4E81">
        <w:rPr>
          <w:rFonts w:ascii="Times New Roman" w:eastAsia="Garamond" w:hAnsi="Times New Roman" w:cs="Times New Roman"/>
          <w:sz w:val="24"/>
          <w:szCs w:val="24"/>
          <w14:ligatures w14:val="standard"/>
        </w:rPr>
        <w:fldChar w:fldCharType="end"/>
      </w:r>
      <w:r w:rsidR="00ED02EB" w:rsidRPr="00CC4E81">
        <w:rPr>
          <w:rFonts w:ascii="Times New Roman" w:eastAsia="Garamond" w:hAnsi="Times New Roman" w:cs="Times New Roman"/>
          <w:sz w:val="24"/>
          <w:szCs w:val="24"/>
          <w14:ligatures w14:val="standard"/>
        </w:rPr>
        <w:t xml:space="preserve">. </w:t>
      </w:r>
      <w:r w:rsidR="00ED02EB" w:rsidRPr="00CC4E81">
        <w:rPr>
          <w:rFonts w:ascii="Times New Roman" w:eastAsia="Garamond" w:hAnsi="Times New Roman" w:cs="Times New Roman"/>
          <w:sz w:val="24"/>
          <w:szCs w:val="24"/>
        </w:rPr>
        <w:t>Mo</w:t>
      </w:r>
      <w:r w:rsidR="00F607FD" w:rsidRPr="00CC4E81">
        <w:rPr>
          <w:rFonts w:ascii="Times New Roman" w:eastAsia="Garamond" w:hAnsi="Times New Roman" w:cs="Times New Roman"/>
          <w:sz w:val="24"/>
          <w:szCs w:val="24"/>
        </w:rPr>
        <w:t>re</w:t>
      </w:r>
      <w:r w:rsidR="00ED02EB" w:rsidRPr="00CC4E81">
        <w:rPr>
          <w:rFonts w:ascii="Times New Roman" w:eastAsia="Garamond" w:hAnsi="Times New Roman" w:cs="Times New Roman"/>
          <w:sz w:val="24"/>
          <w:szCs w:val="24"/>
        </w:rPr>
        <w:t xml:space="preserve"> recently, the EPA reported a 21% decrease in TRI chemicals from 2013 to 2022, which the agency accredits to the public release of TRI data </w:t>
      </w:r>
      <w:r w:rsidR="00ED02EB"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{"citationID":"MkNRMjmF","properties":{"formattedCitation":"(Rodriguez 2024)","plainCitation":"(Rodriguez 2024)","noteIndex":0},"citationItems":[{"id":1508,"uris":["http://zotero.org/users/3682065/items/ZWDR7LEV"],"itemData":{"id":1508,"type":"webpage","abstract":"EPA News Release: New Toxics Release Inventory Data Reported","container-title":"U.S. EPA","genre":"News Release","language":"English","note":"archive_location: Northeast","title":"New Toxics Release Inventory Data Reported","URL":"https://www.epa.gov/newsreleases/new-toxics-release-inventory-data-reported","author":[{"family":"Rodriguez","given":"Elias"}],"accessed":{"date-parts":[["2024",6,18]]},"issued":{"date-parts":[["2024",3,21]]}}}],"schema":"https://github.com/citation-style-language/schema/raw/master/csl-citation.json"} </w:instrText>
      </w:r>
      <w:r w:rsidR="00ED02EB" w:rsidRPr="00CC4E81">
        <w:rPr>
          <w:rFonts w:ascii="Times New Roman" w:eastAsia="Garamond" w:hAnsi="Times New Roman" w:cs="Times New Roman"/>
          <w:sz w:val="24"/>
          <w:szCs w:val="24"/>
        </w:rPr>
        <w:fldChar w:fldCharType="separate"/>
      </w:r>
      <w:r w:rsidR="00ED02EB" w:rsidRPr="00CC4E81">
        <w:rPr>
          <w:rFonts w:ascii="Times New Roman" w:hAnsi="Times New Roman" w:cs="Times New Roman"/>
          <w:sz w:val="24"/>
          <w:szCs w:val="24"/>
        </w:rPr>
        <w:t>(Rodriguez 2024)</w:t>
      </w:r>
      <w:r w:rsidR="00ED02EB" w:rsidRPr="00CC4E81">
        <w:rPr>
          <w:rFonts w:ascii="Times New Roman" w:eastAsia="Garamond" w:hAnsi="Times New Roman" w:cs="Times New Roman"/>
          <w:sz w:val="24"/>
          <w:szCs w:val="24"/>
        </w:rPr>
        <w:fldChar w:fldCharType="end"/>
      </w:r>
      <w:r w:rsidR="00ED02EB" w:rsidRPr="00CC4E81">
        <w:rPr>
          <w:rFonts w:ascii="Times New Roman" w:eastAsia="Garamond" w:hAnsi="Times New Roman" w:cs="Times New Roman"/>
          <w:sz w:val="24"/>
          <w:szCs w:val="24"/>
        </w:rPr>
        <w:t>.</w:t>
      </w:r>
      <w:r w:rsidR="00ED02EB" w:rsidRPr="00CC4E81">
        <w:rPr>
          <w:rFonts w:ascii="Times New Roman" w:hAnsi="Times New Roman" w:cs="Times New Roman"/>
          <w:sz w:val="24"/>
          <w:szCs w:val="24"/>
        </w:rPr>
        <w:t xml:space="preserve"> </w:t>
      </w:r>
      <w:r w:rsidR="00A656A1" w:rsidRPr="00CC4E81">
        <w:rPr>
          <w:rFonts w:ascii="Times New Roman" w:hAnsi="Times New Roman" w:cs="Times New Roman"/>
          <w:sz w:val="24"/>
          <w:szCs w:val="24"/>
        </w:rPr>
        <w:t xml:space="preserve"> </w:t>
      </w:r>
      <w:r w:rsidR="00A656A1" w:rsidRPr="00CC4E81">
        <w:rPr>
          <w:rFonts w:ascii="Times New Roman" w:eastAsia="Garamond" w:hAnsi="Times New Roman" w:cs="Times New Roman"/>
          <w:sz w:val="24"/>
          <w:szCs w:val="24"/>
          <w14:ligatures w14:val="standard"/>
        </w:rPr>
        <w:t xml:space="preserve">We should note that TRI data is not without criticism or limitations. Critics, for example, have questioned both the validity and accuracy of the data and have called into doubt the degree of cooperation of firms participating in the TRI program </w:t>
      </w:r>
      <w:r w:rsidR="00A656A1" w:rsidRPr="00CC4E81">
        <w:rPr>
          <w:rFonts w:ascii="Times New Roman" w:hAnsi="Times New Roman" w:cs="Times New Roman"/>
          <w:sz w:val="24"/>
          <w:szCs w:val="24"/>
        </w:rPr>
        <w:fldChar w:fldCharType="begin"/>
      </w:r>
      <w:r w:rsidR="00A656A1" w:rsidRPr="00CC4E81">
        <w:rPr>
          <w:rFonts w:ascii="Times New Roman" w:eastAsia="Garamond" w:hAnsi="Times New Roman" w:cs="Times New Roman"/>
          <w:sz w:val="24"/>
          <w:szCs w:val="24"/>
        </w:rPr>
        <w:instrText xml:space="preserve"> ADDIN ZOTERO_ITEM CSL_CITATION {"citationID":"i9YX3I8e","properties":{"formattedCitation":"(Abel, Stephan, and Kraft 2007)","plainCitation":"(Abel, Stephan, and Kraft 2007)","noteIndex":0},"citationItems":[{"id":1422,"uris":["http://zotero.org/users/3682065/items/CMBBFK3K"],"itemData":{"id":1422,"type":"article-journal","container-title":"State and Local Government Review","DOI":"10.1177/0160323X0703900304","ISSN":"0160-323X, 1943-3409","issue":"3","journalAbbreviation":"State and Local Government Review","language":"English","page":"153-165","source":"DOI.org (Crossref)","title":"Environmental Information Disclosure and Risk Reduction among the States","volume":"39","author":[{"family":"Abel","given":"Troy D."},{"family":"Stephan","given":"Mark"},{"family":"Kraft","given":"Michael E."}],"issued":{"date-parts":[["2007",9]]}}}],"schema":"https://github.com/citation-style-language/schema/raw/master/csl-citation.json"} </w:instrText>
      </w:r>
      <w:r w:rsidR="00A656A1" w:rsidRPr="00CC4E81">
        <w:rPr>
          <w:rFonts w:ascii="Times New Roman" w:eastAsia="Garamond" w:hAnsi="Times New Roman" w:cs="Times New Roman"/>
          <w:sz w:val="24"/>
          <w:szCs w:val="24"/>
        </w:rPr>
        <w:fldChar w:fldCharType="separate"/>
      </w:r>
      <w:r w:rsidR="00A656A1" w:rsidRPr="00CC4E81">
        <w:rPr>
          <w:rFonts w:ascii="Times New Roman" w:hAnsi="Times New Roman" w:cs="Times New Roman"/>
          <w:sz w:val="24"/>
          <w:szCs w:val="24"/>
        </w:rPr>
        <w:t>(Abel, Stephan, and Kraft 2007)</w:t>
      </w:r>
      <w:r w:rsidR="00A656A1" w:rsidRPr="00CC4E81">
        <w:rPr>
          <w:rFonts w:ascii="Times New Roman" w:eastAsia="Garamond" w:hAnsi="Times New Roman" w:cs="Times New Roman"/>
          <w:sz w:val="24"/>
          <w:szCs w:val="24"/>
        </w:rPr>
        <w:fldChar w:fldCharType="end"/>
      </w:r>
      <w:r w:rsidR="00A656A1" w:rsidRPr="00CC4E81">
        <w:rPr>
          <w:rFonts w:ascii="Times New Roman" w:eastAsia="Garamond" w:hAnsi="Times New Roman" w:cs="Times New Roman"/>
          <w:sz w:val="24"/>
          <w:szCs w:val="24"/>
          <w14:ligatures w14:val="standard"/>
        </w:rPr>
        <w:t>.</w:t>
      </w:r>
      <w:r w:rsidR="007465C1" w:rsidRPr="00CC4E81">
        <w:rPr>
          <w:rFonts w:ascii="Times New Roman" w:eastAsia="Garamond" w:hAnsi="Times New Roman" w:cs="Times New Roman"/>
          <w:sz w:val="24"/>
          <w:szCs w:val="24"/>
          <w14:ligatures w14:val="standard"/>
        </w:rPr>
        <w:t xml:space="preserve"> Finally, Li </w:t>
      </w:r>
      <w:r w:rsidR="007465C1" w:rsidRPr="00CC4E81">
        <w:rPr>
          <w:rFonts w:ascii="Times New Roman" w:hAnsi="Times New Roman" w:cs="Times New Roman"/>
          <w:sz w:val="24"/>
          <w:szCs w:val="24"/>
        </w:rPr>
        <w:fldChar w:fldCharType="begin"/>
      </w:r>
      <w:r w:rsidR="007465C1" w:rsidRPr="00CC4E81">
        <w:rPr>
          <w:rFonts w:ascii="Times New Roman" w:eastAsia="Garamond" w:hAnsi="Times New Roman" w:cs="Times New Roman"/>
          <w:sz w:val="24"/>
          <w:szCs w:val="24"/>
        </w:rPr>
        <w:instrText xml:space="preserve"> ADDIN ZOTERO_ITEM CSL_CITATION {"citationID":"ZlNEGnzq","properties":{"formattedCitation":"(2023)","plainCitation":"(2023)","noteIndex":0},"citationItems":[{"id":1747,"uris":["http://zotero.org/users/3682065/items/7CJM9QIP"],"itemData":{"id":1747,"type":"article-journal","abstract":"Abstract\n            Information disclosure has become a ubiquitous component of contemporary governance. This study examines how disclosure of information about the performance of regulated entities, which also implicates the performance of relevant government agencies, affects bureaucratic behaviors. In the context of the Clean Air Act (CAA)—the primary law that regulates air pollution in the United States—this study shows that regulators significantly increased CAA regulatory inspections on facilities that started to disclose relevant performance information to the public following the requirements of the Toxics Release Inventory (TRI), which is a major environmental information disclosure program in the United States. Additional analyses suggest the increase was because of the disclosure providing new information to regulators instead of mobilizing citizen actions. The findings suggest that performance information about regulated entities can alleviate information asymmetry between bureaucrats and regulated entities and increase the accountability of regulated entities as well as relevant government agencies.","container-title":"Public Administration Review","DOI":"10.1111/puar.13636","ISSN":"0033-3352, 1540-6210","issue":"4","journalAbbreviation":"Public Administration Review","language":"en","page":"750-762","source":"DOI.org (Crossref)","title":"Bureaucratic response to performance information: how mandatory information disclosure affects environmental inspections","title-short":"Bureaucratic response to performance information","volume":"83","author":[{"family":"Li","given":"Zhengyan"}],"issued":{"date-parts":[["2023",7]]}},"suppress-author":true}],"schema":"https://github.com/citation-style-language/schema/raw/master/csl-citation.json"} </w:instrText>
      </w:r>
      <w:r w:rsidR="007465C1" w:rsidRPr="00CC4E81">
        <w:rPr>
          <w:rFonts w:ascii="Times New Roman" w:eastAsia="Garamond" w:hAnsi="Times New Roman" w:cs="Times New Roman"/>
          <w:sz w:val="24"/>
          <w:szCs w:val="24"/>
        </w:rPr>
        <w:fldChar w:fldCharType="separate"/>
      </w:r>
      <w:r w:rsidR="007465C1" w:rsidRPr="00CC4E81">
        <w:rPr>
          <w:rFonts w:ascii="Times New Roman" w:hAnsi="Times New Roman" w:cs="Times New Roman"/>
          <w:sz w:val="24"/>
          <w:szCs w:val="24"/>
        </w:rPr>
        <w:t>(2023)</w:t>
      </w:r>
      <w:r w:rsidR="007465C1" w:rsidRPr="00CC4E81">
        <w:rPr>
          <w:rFonts w:ascii="Times New Roman" w:eastAsia="Garamond" w:hAnsi="Times New Roman" w:cs="Times New Roman"/>
          <w:sz w:val="24"/>
          <w:szCs w:val="24"/>
        </w:rPr>
        <w:fldChar w:fldCharType="end"/>
      </w:r>
      <w:r w:rsidR="007465C1" w:rsidRPr="00CC4E81">
        <w:rPr>
          <w:rFonts w:ascii="Times New Roman" w:eastAsia="Garamond" w:hAnsi="Times New Roman" w:cs="Times New Roman"/>
          <w:sz w:val="24"/>
          <w:szCs w:val="24"/>
          <w14:ligatures w14:val="standard"/>
        </w:rPr>
        <w:t xml:space="preserve"> observed a positive relationship between firm disclosure and inspections as part of the Clean Air Act, especially among TRI facilities with poorer performance. However, common indicators of environmental support, such as increased citizen activism, greater population density, and higher educational attainment, were not related to performance. </w:t>
      </w:r>
    </w:p>
    <w:p w14:paraId="12298C77" w14:textId="6EDC6F66" w:rsidR="00A656A1" w:rsidRPr="00CC4E81" w:rsidRDefault="00F607FD" w:rsidP="00F607FD">
      <w:pPr>
        <w:spacing w:after="0" w:line="480" w:lineRule="auto"/>
        <w:ind w:firstLine="720"/>
        <w:rPr>
          <w:rFonts w:ascii="Times New Roman" w:eastAsia="Garamond" w:hAnsi="Times New Roman" w:cs="Times New Roman"/>
          <w:sz w:val="24"/>
          <w:szCs w:val="24"/>
          <w14:ligatures w14:val="standard"/>
        </w:rPr>
      </w:pPr>
      <w:r w:rsidRPr="00CC4E81">
        <w:rPr>
          <w:rFonts w:ascii="Times New Roman" w:hAnsi="Times New Roman" w:cs="Times New Roman"/>
          <w:sz w:val="24"/>
          <w:szCs w:val="24"/>
        </w:rPr>
        <w:t xml:space="preserve">In one of the earlier models that unpacked </w:t>
      </w:r>
      <w:r w:rsidR="007465C1" w:rsidRPr="00CC4E81">
        <w:rPr>
          <w:rFonts w:ascii="Times New Roman" w:hAnsi="Times New Roman" w:cs="Times New Roman"/>
          <w:sz w:val="24"/>
          <w:szCs w:val="24"/>
        </w:rPr>
        <w:t xml:space="preserve">the dynamics between </w:t>
      </w:r>
      <w:r w:rsidRPr="00CC4E81">
        <w:rPr>
          <w:rFonts w:ascii="Times New Roman" w:hAnsi="Times New Roman" w:cs="Times New Roman"/>
          <w:sz w:val="24"/>
          <w:szCs w:val="24"/>
        </w:rPr>
        <w:t>disclosure</w:t>
      </w:r>
      <w:r w:rsidR="00A656A1" w:rsidRPr="00CC4E81">
        <w:rPr>
          <w:rFonts w:ascii="Times New Roman" w:hAnsi="Times New Roman" w:cs="Times New Roman"/>
          <w:sz w:val="24"/>
          <w:szCs w:val="24"/>
        </w:rPr>
        <w:t xml:space="preserve"> </w:t>
      </w:r>
      <w:r w:rsidR="007465C1" w:rsidRPr="00CC4E81">
        <w:rPr>
          <w:rFonts w:ascii="Times New Roman" w:hAnsi="Times New Roman" w:cs="Times New Roman"/>
          <w:sz w:val="24"/>
          <w:szCs w:val="24"/>
        </w:rPr>
        <w:t xml:space="preserve">and </w:t>
      </w:r>
      <w:r w:rsidRPr="00CC4E81">
        <w:rPr>
          <w:rFonts w:ascii="Times New Roman" w:hAnsi="Times New Roman" w:cs="Times New Roman"/>
          <w:sz w:val="24"/>
          <w:szCs w:val="24"/>
        </w:rPr>
        <w:t>state-level</w:t>
      </w:r>
      <w:r w:rsidR="007465C1" w:rsidRPr="00CC4E81">
        <w:rPr>
          <w:rFonts w:ascii="Times New Roman" w:hAnsi="Times New Roman" w:cs="Times New Roman"/>
          <w:sz w:val="24"/>
          <w:szCs w:val="24"/>
        </w:rPr>
        <w:t xml:space="preserve"> characteristics</w:t>
      </w:r>
      <w:r w:rsidRPr="00CC4E81">
        <w:rPr>
          <w:rFonts w:ascii="Times New Roman" w:hAnsi="Times New Roman" w:cs="Times New Roman"/>
          <w:sz w:val="24"/>
          <w:szCs w:val="24"/>
        </w:rPr>
        <w:t xml:space="preserve">, Abel, Stephen, and Kraft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{"citationID":"3F6LZiQ0","properties":{"formattedCitation":"(2007)","plainCitation":"(2007)","noteIndex":0},"citationItems":[{"id":1422,"uris":["http://zotero.org/users/3682065/items/CMBBFK3K"],"itemData":{"id":1422,"type":"article-journal","container-title":"State and Local Government Review","DOI":"10.1177/0160323X0703900304","ISSN":"0160-323X, 1943-3409","issue":"3","journalAbbreviation":"State and Local Government Review","language":"English","page":"153-165","source":"DOI.org (Crossref)","title":"Environmental Information Disclosure and Risk Reduction among the States","volume":"39","author":[{"family":"Abel","given":"Troy D."},{"family":"Stephan","given":"Mark"},{"family":"Kraft","given":"Michael E."}],"issued":{"date-parts":[["2007",9]]}},"suppress-author":true}],"schema":"https://github.com/citation-style-language/schema/raw/master/csl-citation.json"}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(2007)</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rPr>
        <w:t>, assessed the impacts of affluence, educational attainment, elected officials, the role of interest groups on firm performance. Their results</w:t>
      </w:r>
      <w:r w:rsidRPr="00CC4E81">
        <w:rPr>
          <w:rFonts w:ascii="Times New Roman" w:eastAsia="Garamond" w:hAnsi="Times New Roman" w:cs="Times New Roman"/>
          <w:sz w:val="24"/>
          <w:szCs w:val="24"/>
          <w14:ligatures w14:val="standard"/>
        </w:rPr>
        <w:t xml:space="preserve"> highlighted two noteworthy state-level characteristics. First, liberal policies were found to significantly and positively impact risk reduction </w:t>
      </w:r>
      <w:r w:rsidR="001D2631" w:rsidRPr="00CC4E81">
        <w:rPr>
          <w:rFonts w:ascii="Times New Roman" w:eastAsia="Garamond" w:hAnsi="Times New Roman" w:cs="Times New Roman"/>
          <w:sz w:val="24"/>
          <w:szCs w:val="24"/>
          <w14:ligatures w14:val="standard"/>
        </w:rPr>
        <w:fldChar w:fldCharType="begin"/>
      </w:r>
      <w:r w:rsidR="003B0A34" w:rsidRPr="00CC4E81">
        <w:rPr>
          <w:rFonts w:ascii="Times New Roman" w:eastAsia="Garamond" w:hAnsi="Times New Roman" w:cs="Times New Roman"/>
          <w:sz w:val="24"/>
          <w:szCs w:val="24"/>
          <w14:ligatures w14:val="standard"/>
        </w:rPr>
        <w:instrText xml:space="preserve"> ADDIN ZOTERO_ITEM CSL_CITATION {"citationID":"URpS3of9","properties":{"formattedCitation":"(Abel, Stephan, and Kraft 2007, 161)","plainCitation":"(Abel, Stephan, and Kraft 2007, 161)","noteIndex":0},"citationItems":[{"id":1422,"uris":["http://zotero.org/users/3682065/items/CMBBFK3K"],"itemData":{"id":1422,"type":"article-journal","container-title":"State and Local Government Review","DOI":"10.1177/0160323X0703900304","ISSN":"0160-323X, 1943-3409","issue":"3","journalAbbreviation":"State and Local Government Review","language":"English","page":"153-165","source":"DOI.org (Crossref)","title":"Environmental Information Disclosure and Risk Reduction among the States","volume":"39","author":[{"family":"Abel","given":"Troy D."},{"family":"Stephan","given":"Mark"},{"family":"Kraft","given":"Michael E."}],"issued":{"date-parts":[["2007",9]]}},"locator":"161","label":"page"}],"schema":"https://github.com/citation-style-language/schema/raw/master/csl-citation.json"} </w:instrText>
      </w:r>
      <w:r w:rsidR="001D2631" w:rsidRPr="00CC4E81">
        <w:rPr>
          <w:rFonts w:ascii="Times New Roman" w:eastAsia="Garamond" w:hAnsi="Times New Roman" w:cs="Times New Roman"/>
          <w:sz w:val="24"/>
          <w:szCs w:val="24"/>
          <w14:ligatures w14:val="standard"/>
        </w:rPr>
        <w:fldChar w:fldCharType="separate"/>
      </w:r>
      <w:r w:rsidR="001D2631" w:rsidRPr="00CC4E81">
        <w:rPr>
          <w:rFonts w:ascii="Times New Roman" w:hAnsi="Times New Roman" w:cs="Times New Roman"/>
          <w:sz w:val="24"/>
          <w:szCs w:val="24"/>
        </w:rPr>
        <w:t>(Abel, Stephan, and Kraft 2007, 161)</w:t>
      </w:r>
      <w:r w:rsidR="001D2631" w:rsidRPr="00CC4E81">
        <w:rPr>
          <w:rFonts w:ascii="Times New Roman" w:eastAsia="Garamond" w:hAnsi="Times New Roman" w:cs="Times New Roman"/>
          <w:sz w:val="24"/>
          <w:szCs w:val="24"/>
          <w14:ligatures w14:val="standard"/>
        </w:rPr>
        <w:fldChar w:fldCharType="end"/>
      </w:r>
      <w:r w:rsidRPr="00CC4E81">
        <w:rPr>
          <w:rFonts w:ascii="Times New Roman" w:eastAsia="Garamond" w:hAnsi="Times New Roman" w:cs="Times New Roman"/>
          <w:sz w:val="24"/>
          <w:szCs w:val="24"/>
          <w14:ligatures w14:val="standard"/>
        </w:rPr>
        <w:t xml:space="preserve">. Second, states with higher “economic value added by manufacturing” were associated with higher levels of risk reduction </w:t>
      </w:r>
      <w:r w:rsidR="00D65604" w:rsidRPr="00CC4E81">
        <w:rPr>
          <w:rFonts w:ascii="Times New Roman" w:eastAsia="Garamond" w:hAnsi="Times New Roman" w:cs="Times New Roman"/>
          <w:sz w:val="24"/>
          <w:szCs w:val="24"/>
          <w14:ligatures w14:val="standard"/>
        </w:rPr>
        <w:fldChar w:fldCharType="begin"/>
      </w:r>
      <w:r w:rsidR="00D65604" w:rsidRPr="00CC4E81">
        <w:rPr>
          <w:rFonts w:ascii="Times New Roman" w:eastAsia="Garamond" w:hAnsi="Times New Roman" w:cs="Times New Roman"/>
          <w:sz w:val="24"/>
          <w:szCs w:val="24"/>
          <w14:ligatures w14:val="standard"/>
        </w:rPr>
        <w:instrText xml:space="preserve"> ADDIN ZOTERO_ITEM CSL_CITATION {"citationID":"EypGIXj9","properties":{"formattedCitation":"(Abel, Stephan, and Kraft 2007, 162)","plainCitation":"(Abel, Stephan, and Kraft 2007, 162)","noteIndex":0},"citationItems":[{"id":1422,"uris":["http://zotero.org/users/3682065/items/CMBBFK3K"],"itemData":{"id":1422,"type":"article-journal","container-title":"State and Local Government Review","DOI":"10.1177/0160323X0703900304","ISSN":"0160-323X, 1943-3409","issue":"3","journalAbbreviation":"State and Local Government Review","language":"English","page":"153-165","source":"DOI.org (Crossref)","title":"Environmental Information Disclosure and Risk Reduction among the States","volume":"39","author":[{"family":"Abel","given":"Troy D."},{"family":"Stephan","given":"Mark"},{"family":"Kraft","given":"Michael E."}],"issued":{"date-parts":[["2007",9]]}},"locator":"162","label":"page"}],"schema":"https://github.com/citation-style-language/schema/raw/master/csl-citation.json"} </w:instrText>
      </w:r>
      <w:r w:rsidR="00D65604" w:rsidRPr="00CC4E81">
        <w:rPr>
          <w:rFonts w:ascii="Times New Roman" w:eastAsia="Garamond" w:hAnsi="Times New Roman" w:cs="Times New Roman"/>
          <w:sz w:val="24"/>
          <w:szCs w:val="24"/>
          <w14:ligatures w14:val="standard"/>
        </w:rPr>
        <w:fldChar w:fldCharType="separate"/>
      </w:r>
      <w:r w:rsidR="00D65604" w:rsidRPr="00CC4E81">
        <w:rPr>
          <w:rFonts w:ascii="Times New Roman" w:hAnsi="Times New Roman" w:cs="Times New Roman"/>
          <w:sz w:val="24"/>
        </w:rPr>
        <w:t>(Abel, Stephan, and Kraft 2007, 162)</w:t>
      </w:r>
      <w:r w:rsidR="00D65604" w:rsidRPr="00CC4E81">
        <w:rPr>
          <w:rFonts w:ascii="Times New Roman" w:eastAsia="Garamond" w:hAnsi="Times New Roman" w:cs="Times New Roman"/>
          <w:sz w:val="24"/>
          <w:szCs w:val="24"/>
          <w14:ligatures w14:val="standard"/>
        </w:rPr>
        <w:fldChar w:fldCharType="end"/>
      </w:r>
      <w:r w:rsidRPr="00CC4E81">
        <w:rPr>
          <w:rFonts w:ascii="Times New Roman" w:eastAsia="Garamond" w:hAnsi="Times New Roman" w:cs="Times New Roman"/>
          <w:sz w:val="24"/>
          <w:szCs w:val="24"/>
          <w14:ligatures w14:val="standard"/>
        </w:rPr>
        <w:t xml:space="preserve">. </w:t>
      </w:r>
      <w:r w:rsidRPr="00CC4E81">
        <w:rPr>
          <w:rFonts w:ascii="Times New Roman" w:hAnsi="Times New Roman" w:cs="Times New Roman"/>
          <w:sz w:val="24"/>
          <w:szCs w:val="24"/>
        </w:rPr>
        <w:t xml:space="preserve">In subsequent work, Kraft, Stephen, and Abel </w:t>
      </w:r>
      <w:r w:rsidR="00A83629"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{"citationID":"xtrCeEjn","properties":{"formattedCitation":"(2011)","plainCitation":"(2011)","noteIndex":0},"citationItems":[{"id":1815,"uris":["http://zotero.org/users/3682065/items/R3MHLHQX"],"itemData":{"id":1815,"type":"book","abstract":"\"Coming Clean is the first book to investigate the process of information disclosure as a policy strategy for environmental protection. This process, which requires that firms disclose information about their environmental performance, is part of an approach to environmental protection that eschews the conventional command-and-control regulatory apparatus, which sometimes leads government and industry to focus on meeting only minimal standards. The authors of Coming Clean examine the effectiveness of information disclosure in achieving actual improvements in corporate environmental performance by analyzing data from the federal government's Toxics Release Inventory, or TRI, and drawing on an original set of survey data from corporations and federal, state, and local officials, among other sources","event-place":"Cambridge, Mass.","ISBN":"978-0-262-29489-8","language":"eng","note":"OCLC: 1162370909","publisher":"MIT Press","publisher-place":"Cambridge, Mass.","source":"Open WorldCat","title":"Coming clean: information disclosure and environmental performance","title-short":"Coming clean","author":[{"family":"Kraft","given":"Michael E."},{"family":"Stephan","given":"Mark"},{"family":"Abel","given":"Troy D."}],"issued":{"date-parts":[["2011"]]}},"suppress-author":true}],"schema":"https://github.com/citation-style-language/schema/raw/master/csl-citation.json"} </w:instrText>
      </w:r>
      <w:r w:rsidR="00A83629" w:rsidRPr="00CC4E81">
        <w:rPr>
          <w:rFonts w:ascii="Times New Roman" w:hAnsi="Times New Roman" w:cs="Times New Roman"/>
          <w:sz w:val="24"/>
          <w:szCs w:val="24"/>
        </w:rPr>
        <w:fldChar w:fldCharType="separate"/>
      </w:r>
      <w:r w:rsidR="00D64E19" w:rsidRPr="00CC4E81">
        <w:rPr>
          <w:rFonts w:ascii="Times New Roman" w:hAnsi="Times New Roman" w:cs="Times New Roman"/>
          <w:sz w:val="24"/>
          <w:szCs w:val="24"/>
        </w:rPr>
        <w:t>(2011)</w:t>
      </w:r>
      <w:r w:rsidR="00A83629" w:rsidRPr="00CC4E81">
        <w:rPr>
          <w:rFonts w:ascii="Times New Roman" w:hAnsi="Times New Roman" w:cs="Times New Roman"/>
          <w:sz w:val="24"/>
          <w:szCs w:val="24"/>
        </w:rPr>
        <w:fldChar w:fldCharType="end"/>
      </w:r>
      <w:r w:rsidRPr="00CC4E81">
        <w:rPr>
          <w:rFonts w:ascii="Times New Roman" w:hAnsi="Times New Roman" w:cs="Times New Roman"/>
          <w:sz w:val="24"/>
          <w:szCs w:val="24"/>
        </w:rPr>
        <w:t xml:space="preserve"> found that variables approximating community and individual attributes, market reactions, federal and state environmental capacity, and corporate commitment and decision-making mechanism, impacted firm decisions vis-a-vie TRI disclosures.</w:t>
      </w:r>
      <w:r w:rsidRPr="00CC4E81">
        <w:rPr>
          <w:rFonts w:ascii="Times New Roman" w:eastAsia="Garamond" w:hAnsi="Times New Roman" w:cs="Times New Roman"/>
          <w:sz w:val="24"/>
          <w:szCs w:val="24"/>
          <w14:ligatures w14:val="standard"/>
        </w:rPr>
        <w:t xml:space="preserve"> </w:t>
      </w:r>
    </w:p>
    <w:p w14:paraId="70785379" w14:textId="54C15545" w:rsidR="00500C0B" w:rsidRPr="00CC4E81" w:rsidRDefault="00ED02EB">
      <w:pPr>
        <w:spacing w:after="0" w:line="480" w:lineRule="auto"/>
        <w:ind w:firstLine="720"/>
        <w:rPr>
          <w:rFonts w:ascii="Times New Roman" w:eastAsia="Garamond" w:hAnsi="Times New Roman" w:cs="Times New Roman"/>
          <w:sz w:val="24"/>
          <w:szCs w:val="24"/>
          <w14:ligatures w14:val="standard"/>
        </w:rPr>
      </w:pPr>
      <w:r w:rsidRPr="00CC4E81">
        <w:rPr>
          <w:rFonts w:ascii="Times New Roman" w:hAnsi="Times New Roman" w:cs="Times New Roman"/>
          <w:sz w:val="24"/>
          <w:szCs w:val="24"/>
        </w:rPr>
        <w:lastRenderedPageBreak/>
        <w:t xml:space="preserve">Other studies have </w:t>
      </w:r>
      <w:r w:rsidR="00F607FD" w:rsidRPr="00CC4E81">
        <w:rPr>
          <w:rFonts w:ascii="Times New Roman" w:hAnsi="Times New Roman" w:cs="Times New Roman"/>
          <w:sz w:val="24"/>
          <w:szCs w:val="24"/>
        </w:rPr>
        <w:t xml:space="preserve">similarly </w:t>
      </w:r>
      <w:r w:rsidRPr="00CC4E81">
        <w:rPr>
          <w:rFonts w:ascii="Times New Roman" w:hAnsi="Times New Roman" w:cs="Times New Roman"/>
          <w:sz w:val="24"/>
          <w:szCs w:val="24"/>
        </w:rPr>
        <w:t xml:space="preserve">modeled the impacts of disclosure on firm environmental decision-making. Delmas et al.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{"citationID":"Tf1DQJBa","properties":{"formattedCitation":"(2013)","plainCitation":"(2013)","noteIndex":0},"citationItems":[{"id":1786,"uris":["http://zotero.org/users/3682065/items/X92B5NZD"],"itemData":{"id":1786,"type":"article-journal","container-title":"Academy of Management Perspectives","DOI":"10.5465/amp.2012.0123","ISSN":"1558-9080, 1943-4529","issue":"3","journalAbbreviation":"AMP","language":"en","page":"255-267","source":"DOI.org (Crossref)","title":"Triangulating Environmental Performance: What Do Corporate Social Responsibility Ratings Really Capture?","title-short":"Triangulating Environmental Performance","volume":"27","author":[{"family":"Delmas","given":"Magali A."},{"family":"Etzion","given":"Dror"},{"family":"Nairn-Birch","given":"Nicholas"}],"issued":{"date-parts":[["2013",8]]}},"suppress-author":true}],"schema":"https://github.com/citation-style-language/schema/raw/master/csl-citation.json"}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(2013)</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rPr>
        <w:t xml:space="preserve"> for example, found that disclosure requirements impact</w:t>
      </w:r>
      <w:r w:rsidR="00F607FD" w:rsidRPr="00CC4E81">
        <w:rPr>
          <w:rFonts w:ascii="Times New Roman" w:hAnsi="Times New Roman" w:cs="Times New Roman"/>
          <w:sz w:val="24"/>
          <w:szCs w:val="24"/>
        </w:rPr>
        <w:t>ed</w:t>
      </w:r>
      <w:r w:rsidRPr="00CC4E81">
        <w:rPr>
          <w:rFonts w:ascii="Times New Roman" w:hAnsi="Times New Roman" w:cs="Times New Roman"/>
          <w:sz w:val="24"/>
          <w:szCs w:val="24"/>
        </w:rPr>
        <w:t xml:space="preserve"> energy consumption</w:t>
      </w:r>
      <w:r w:rsidR="00F607FD" w:rsidRPr="00CC4E81">
        <w:rPr>
          <w:rFonts w:ascii="Times New Roman" w:hAnsi="Times New Roman" w:cs="Times New Roman"/>
          <w:sz w:val="24"/>
          <w:szCs w:val="24"/>
        </w:rPr>
        <w:t xml:space="preserve"> level</w:t>
      </w:r>
      <w:r w:rsidR="007465C1" w:rsidRPr="00CC4E81">
        <w:rPr>
          <w:rFonts w:ascii="Times New Roman" w:hAnsi="Times New Roman" w:cs="Times New Roman"/>
          <w:sz w:val="24"/>
          <w:szCs w:val="24"/>
        </w:rPr>
        <w:t xml:space="preserve"> </w:t>
      </w:r>
      <w:r w:rsidR="007465C1" w:rsidRPr="00CC4E81">
        <w:rPr>
          <w:rFonts w:ascii="Times New Roman" w:hAnsi="Times New Roman" w:cs="Times New Roman"/>
          <w:sz w:val="24"/>
          <w:szCs w:val="24"/>
        </w:rPr>
        <w:fldChar w:fldCharType="begin"/>
      </w:r>
      <w:r w:rsidR="007465C1" w:rsidRPr="00CC4E81">
        <w:rPr>
          <w:rFonts w:ascii="Times New Roman" w:hAnsi="Times New Roman" w:cs="Times New Roman"/>
          <w:sz w:val="24"/>
          <w:szCs w:val="24"/>
        </w:rPr>
        <w:instrText xml:space="preserve"> ADDIN ZOTERO_ITEM CSL_CITATION {"citationID":"3zaMvL3E","properties":{"formattedCitation":"(see also: M. Delmas, Montes\\uc0\\u8208{}Sancho, and Shimshack 2010)","plainCitation":"(see also: M. Delmas, Montes‐Sancho, and Shimshack 2010)","noteIndex":0},"citationItems":[{"id":1785,"uris":["http://zotero.org/users/3682065/items/A9LZ83LB"],"itemData":{"id":1785,"type":"article-journal","abstract":"While theory suggests that information programs may correct market failures and improve welfare, the empirical impacts of these policies remain undetermined. We show that mandatory disclosure programs in the electricity industry achieve stated policy goals. We find that the proportion of fossil fuels decreases, and the proportion of clean fuels increases in response to disclosure programs. However, the programs may produce unintended consequences. For example, programs may make “clean” firms cleaner, while leaving “dirty” firms relatively unchanged. If the marginal benefits of pollution abatement are larger at dirty firms than at clean firms, disclosure programs may induce inefficient abatement allocations.\n              (\n              JEL\n              D83, Q58, D21)","container-title":"Economic Inquiry","DOI":"10.1111/j.1465-7295.2009.00227.x","ISSN":"0095-2583, 1465-7295","issue":"2","journalAbbreviation":"Economic Inquiry","language":"en","page":"483-498","source":"DOI.org (Crossref)","title":"INFORMATION DISCLOSURE POLICIES: EVIDENCE FROM THE ELECTRICITY INDUSTRY","title-short":"INFORMATION DISCLOSURE POLICIES","volume":"48","author":[{"family":"Delmas","given":"Magali"},{"family":"Montes‐Sancho","given":"Maria J."},{"family":"Shimshack","given":"Jay P."}],"issued":{"date-parts":[["2010",4]]}},"prefix":"see also:"}],"schema":"https://github.com/citation-style-language/schema/raw/master/csl-citation.json"} </w:instrText>
      </w:r>
      <w:r w:rsidR="007465C1" w:rsidRPr="00CC4E81">
        <w:rPr>
          <w:rFonts w:ascii="Times New Roman" w:hAnsi="Times New Roman" w:cs="Times New Roman"/>
          <w:sz w:val="24"/>
          <w:szCs w:val="24"/>
        </w:rPr>
        <w:fldChar w:fldCharType="separate"/>
      </w:r>
      <w:r w:rsidR="007465C1" w:rsidRPr="00CC4E81">
        <w:rPr>
          <w:rFonts w:ascii="Times New Roman" w:hAnsi="Times New Roman" w:cs="Times New Roman"/>
          <w:sz w:val="24"/>
          <w:szCs w:val="24"/>
        </w:rPr>
        <w:t>(</w:t>
      </w:r>
      <w:r w:rsidR="007454E7" w:rsidRPr="00CC4E81">
        <w:rPr>
          <w:rFonts w:ascii="Times New Roman" w:hAnsi="Times New Roman" w:cs="Times New Roman"/>
          <w:i/>
          <w:iCs/>
          <w:sz w:val="24"/>
          <w:szCs w:val="24"/>
        </w:rPr>
        <w:t>See also</w:t>
      </w:r>
      <w:r w:rsidR="007454E7" w:rsidRPr="00CC4E81">
        <w:rPr>
          <w:rFonts w:ascii="Times New Roman" w:hAnsi="Times New Roman" w:cs="Times New Roman"/>
          <w:sz w:val="24"/>
          <w:szCs w:val="24"/>
        </w:rPr>
        <w:t xml:space="preserve"> </w:t>
      </w:r>
      <w:r w:rsidR="007465C1" w:rsidRPr="00CC4E81">
        <w:rPr>
          <w:rFonts w:ascii="Times New Roman" w:hAnsi="Times New Roman" w:cs="Times New Roman"/>
          <w:sz w:val="24"/>
          <w:szCs w:val="24"/>
        </w:rPr>
        <w:t>Delmas, Montes‐Sancho, and Shimshack 2010)</w:t>
      </w:r>
      <w:r w:rsidR="007465C1" w:rsidRPr="00CC4E81">
        <w:rPr>
          <w:rFonts w:ascii="Times New Roman" w:hAnsi="Times New Roman" w:cs="Times New Roman"/>
          <w:sz w:val="24"/>
          <w:szCs w:val="24"/>
        </w:rPr>
        <w:fldChar w:fldCharType="end"/>
      </w:r>
      <w:r w:rsidRPr="00CC4E81">
        <w:rPr>
          <w:rFonts w:ascii="Times New Roman" w:hAnsi="Times New Roman" w:cs="Times New Roman"/>
          <w:sz w:val="24"/>
          <w:szCs w:val="24"/>
        </w:rPr>
        <w:t>. However, they noted several caveats</w:t>
      </w:r>
      <w:r w:rsidR="00F607FD" w:rsidRPr="00CC4E81">
        <w:rPr>
          <w:rFonts w:ascii="Times New Roman" w:hAnsi="Times New Roman" w:cs="Times New Roman"/>
          <w:sz w:val="24"/>
          <w:szCs w:val="24"/>
        </w:rPr>
        <w:t xml:space="preserve"> to this finding</w:t>
      </w:r>
      <w:r w:rsidRPr="00CC4E81">
        <w:rPr>
          <w:rFonts w:ascii="Times New Roman" w:hAnsi="Times New Roman" w:cs="Times New Roman"/>
          <w:sz w:val="24"/>
          <w:szCs w:val="24"/>
        </w:rPr>
        <w:t xml:space="preserve">. </w:t>
      </w:r>
      <w:r w:rsidR="00F607FD" w:rsidRPr="00CC4E81">
        <w:rPr>
          <w:rFonts w:ascii="Times New Roman" w:hAnsi="Times New Roman" w:cs="Times New Roman"/>
          <w:sz w:val="24"/>
          <w:szCs w:val="24"/>
        </w:rPr>
        <w:t>First, t</w:t>
      </w:r>
      <w:r w:rsidRPr="00CC4E81">
        <w:rPr>
          <w:rFonts w:ascii="Times New Roman" w:hAnsi="Times New Roman" w:cs="Times New Roman"/>
          <w:sz w:val="24"/>
          <w:szCs w:val="24"/>
        </w:rPr>
        <w:t xml:space="preserve">he </w:t>
      </w:r>
      <w:r w:rsidR="00F607FD" w:rsidRPr="00CC4E81">
        <w:rPr>
          <w:rFonts w:ascii="Times New Roman" w:hAnsi="Times New Roman" w:cs="Times New Roman"/>
          <w:sz w:val="24"/>
          <w:szCs w:val="24"/>
        </w:rPr>
        <w:t>impacts</w:t>
      </w:r>
      <w:r w:rsidRPr="00CC4E81">
        <w:rPr>
          <w:rFonts w:ascii="Times New Roman" w:hAnsi="Times New Roman" w:cs="Times New Roman"/>
          <w:sz w:val="24"/>
          <w:szCs w:val="24"/>
        </w:rPr>
        <w:t xml:space="preserve"> </w:t>
      </w:r>
      <w:r w:rsidR="00F607FD" w:rsidRPr="00CC4E81">
        <w:rPr>
          <w:rFonts w:ascii="Times New Roman" w:hAnsi="Times New Roman" w:cs="Times New Roman"/>
          <w:sz w:val="24"/>
          <w:szCs w:val="24"/>
        </w:rPr>
        <w:t xml:space="preserve">were </w:t>
      </w:r>
      <w:r w:rsidR="007454E7" w:rsidRPr="00CC4E81">
        <w:rPr>
          <w:rFonts w:ascii="Times New Roman" w:hAnsi="Times New Roman" w:cs="Times New Roman"/>
          <w:sz w:val="24"/>
          <w:szCs w:val="24"/>
        </w:rPr>
        <w:t>observed in</w:t>
      </w:r>
      <w:r w:rsidR="00F607FD" w:rsidRPr="00CC4E81">
        <w:rPr>
          <w:rFonts w:ascii="Times New Roman" w:hAnsi="Times New Roman" w:cs="Times New Roman"/>
          <w:sz w:val="24"/>
          <w:szCs w:val="24"/>
        </w:rPr>
        <w:t xml:space="preserve"> mostly</w:t>
      </w:r>
      <w:r w:rsidRPr="00CC4E81">
        <w:rPr>
          <w:rFonts w:ascii="Times New Roman" w:hAnsi="Times New Roman" w:cs="Times New Roman"/>
          <w:sz w:val="24"/>
          <w:szCs w:val="24"/>
        </w:rPr>
        <w:t xml:space="preserve"> small</w:t>
      </w:r>
      <w:r w:rsidR="00F607FD" w:rsidRPr="00CC4E81">
        <w:rPr>
          <w:rFonts w:ascii="Times New Roman" w:hAnsi="Times New Roman" w:cs="Times New Roman"/>
          <w:sz w:val="24"/>
          <w:szCs w:val="24"/>
        </w:rPr>
        <w:t xml:space="preserve">er </w:t>
      </w:r>
      <w:r w:rsidRPr="00CC4E81">
        <w:rPr>
          <w:rFonts w:ascii="Times New Roman" w:hAnsi="Times New Roman" w:cs="Times New Roman"/>
          <w:sz w:val="24"/>
          <w:szCs w:val="24"/>
        </w:rPr>
        <w:t xml:space="preserve">and </w:t>
      </w:r>
      <w:r w:rsidR="007454E7" w:rsidRPr="00CC4E81">
        <w:rPr>
          <w:rFonts w:ascii="Times New Roman" w:hAnsi="Times New Roman" w:cs="Times New Roman"/>
          <w:sz w:val="24"/>
          <w:szCs w:val="24"/>
        </w:rPr>
        <w:t xml:space="preserve">in </w:t>
      </w:r>
      <w:r w:rsidR="00F607FD" w:rsidRPr="00CC4E81">
        <w:rPr>
          <w:rFonts w:ascii="Times New Roman" w:hAnsi="Times New Roman" w:cs="Times New Roman"/>
          <w:sz w:val="24"/>
          <w:szCs w:val="24"/>
        </w:rPr>
        <w:t xml:space="preserve">organizations </w:t>
      </w:r>
      <w:r w:rsidR="007454E7" w:rsidRPr="00CC4E81">
        <w:rPr>
          <w:rFonts w:ascii="Times New Roman" w:hAnsi="Times New Roman" w:cs="Times New Roman"/>
          <w:sz w:val="24"/>
          <w:szCs w:val="24"/>
        </w:rPr>
        <w:t xml:space="preserve">that were </w:t>
      </w:r>
      <w:r w:rsidRPr="00CC4E81">
        <w:rPr>
          <w:rFonts w:ascii="Times New Roman" w:hAnsi="Times New Roman" w:cs="Times New Roman"/>
          <w:sz w:val="24"/>
          <w:szCs w:val="24"/>
        </w:rPr>
        <w:t xml:space="preserve">already </w:t>
      </w:r>
      <w:r w:rsidR="007454E7" w:rsidRPr="00CC4E81">
        <w:rPr>
          <w:rFonts w:ascii="Times New Roman" w:hAnsi="Times New Roman" w:cs="Times New Roman"/>
          <w:sz w:val="24"/>
          <w:szCs w:val="24"/>
        </w:rPr>
        <w:t>supportive of</w:t>
      </w:r>
      <w:r w:rsidRPr="00CC4E81">
        <w:rPr>
          <w:rFonts w:ascii="Times New Roman" w:hAnsi="Times New Roman" w:cs="Times New Roman"/>
          <w:sz w:val="24"/>
          <w:szCs w:val="24"/>
        </w:rPr>
        <w:t xml:space="preserve"> </w:t>
      </w:r>
      <w:r w:rsidR="007454E7" w:rsidRPr="00CC4E81">
        <w:rPr>
          <w:rFonts w:ascii="Times New Roman" w:hAnsi="Times New Roman" w:cs="Times New Roman"/>
          <w:sz w:val="24"/>
          <w:szCs w:val="24"/>
        </w:rPr>
        <w:t>sustainability efforts</w:t>
      </w:r>
      <w:r w:rsidRPr="00CC4E81">
        <w:rPr>
          <w:rFonts w:ascii="Times New Roman" w:hAnsi="Times New Roman" w:cs="Times New Roman"/>
          <w:sz w:val="24"/>
          <w:szCs w:val="24"/>
        </w:rPr>
        <w:t xml:space="preserve">. Bennear and Olmstead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{"citationID":"V53y04uf","properties":{"formattedCitation":"(2008)","plainCitation":"(2008)","noteIndex":0},"citationItems":[{"id":1737,"uris":["http://zotero.org/users/3682065/items/4VIYVXCE"],"itemData":{"id":1737,"type":"article-journal","container-title":"SSRN Electronic Journal","DOI":"10.2139/ssrn.939590","ISSN":"1556-5068","journalAbbreviation":"SSRN Journal","language":"English","source":"DOI.org (Crossref)","title":"The Impacts of the 'Right to Know': Information Disclosure and the Violation of Drinking Water Standards","title-short":"The Impacts of the 'Right to Know'","URL":"http://www.ssrn.com/abstract=939590","author":[{"family":"Bennear","given":"Lori Snyder"},{"family":"Olmstead","given":"Sheila M."}],"accessed":{"date-parts":[["2025",3,31]]},"issued":{"date-parts":[["2008"]]}},"suppress-author":true}],"schema":"https://github.com/citation-style-language/schema/raw/master/csl-citation.json"}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(2008)</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rPr>
        <w:t xml:space="preserve"> also reported mixed results relative to the impact of disclosure on drinking water outputs. Like Delmas et al.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{"citationID":"oKwprMyh","properties":{"formattedCitation":"(2010)","plainCitation":"(2010)","noteIndex":0},"citationItems":[{"id":1785,"uris":["http://zotero.org/users/3682065/items/A9LZ83LB"],"itemData":{"id":1785,"type":"article-journal","abstract":"While theory suggests that information programs may correct market failures and improve welfare, the empirical impacts of these policies remain undetermined. We show that mandatory disclosure programs in the electricity industry achieve stated policy goals. We find that the proportion of fossil fuels decreases, and the proportion of clean fuels increases in response to disclosure programs. However, the programs may produce unintended consequences. For example, programs may make “clean” firms cleaner, while leaving “dirty” firms relatively unchanged. If the marginal benefits of pollution abatement are larger at dirty firms than at clean firms, disclosure programs may induce inefficient abatement allocations.\n              (\n              JEL\n              D83, Q58, D21)","container-title":"Economic Inquiry","DOI":"10.1111/j.1465-7295.2009.00227.x","ISSN":"0095-2583, 1465-7295","issue":"2","journalAbbreviation":"Economic Inquiry","language":"en","page":"483-498","source":"DOI.org (Crossref)","title":"INFORMATION DISCLOSURE POLICIES: EVIDENCE FROM THE ELECTRICITY INDUSTRY","title-short":"INFORMATION DISCLOSURE POLICIES","volume":"48","author":[{"family":"Delmas","given":"Magali"},{"family":"Montes‐Sancho","given":"Maria J."},{"family":"Shimshack","given":"Jay P."}],"issued":{"date-parts":[["2010",4]]}},"suppress-author":true}],"schema":"https://github.com/citation-style-language/schema/raw/master/csl-citation.json"}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(2010)</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rPr>
        <w:t>, they too found that disclosure improved performance within some firms but not others.</w:t>
      </w:r>
      <w:r w:rsidRPr="00CC4E81">
        <w:rPr>
          <w:rFonts w:ascii="Times New Roman" w:eastAsia="Garamond" w:hAnsi="Times New Roman" w:cs="Times New Roman"/>
          <w:sz w:val="24"/>
          <w:szCs w:val="24"/>
          <w14:ligatures w14:val="standard"/>
        </w:rPr>
        <w:t xml:space="preserve"> </w:t>
      </w:r>
    </w:p>
    <w:p w14:paraId="47059971" w14:textId="5A398542" w:rsidR="003769A5" w:rsidRPr="00CC4E81" w:rsidRDefault="003769A5" w:rsidP="003769A5">
      <w:pPr>
        <w:spacing w:after="0" w:line="480" w:lineRule="auto"/>
        <w:ind w:left="-14" w:right="-14"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 xml:space="preserve">In general, agency performance is likely to be impacted when perceptions or beliefs are challenged or do not match the expected information. Helland </w:t>
      </w:r>
      <w:r w:rsidRPr="00CC4E81">
        <w:rPr>
          <w:rFonts w:ascii="Times New Roman" w:hAnsi="Times New Roman" w:cs="Times New Roman"/>
          <w:sz w:val="24"/>
          <w:szCs w:val="24"/>
        </w:rPr>
        <w:fldChar w:fldCharType="begin"/>
      </w:r>
      <w:r w:rsidRPr="00CC4E81">
        <w:rPr>
          <w:rFonts w:ascii="Times New Roman" w:eastAsia="Garamond" w:hAnsi="Times New Roman" w:cs="Times New Roman"/>
          <w:sz w:val="24"/>
          <w:szCs w:val="24"/>
        </w:rPr>
        <w:instrText xml:space="preserve"> ADDIN ZOTERO_ITEM CSL_CITATION {"citationID":"jaRJmTm0","properties":{"formattedCitation":"(1998)","plainCitation":"(1998)","noteIndex":0},"citationItems":[{"id":1758,"uris":["http://zotero.org/users/3682065/items/4IUDQDX3"],"itemData":{"id":1758,"type":"article-journal","container-title":"Review of Economics and Statistics","DOI":"10.1162/003465398557249","ISSN":"0034-6535, 1530-9142","issue":"1","journalAbbreviation":"Review of Economics and Statistics","language":"en","page":"141-153","source":"DOI.org (Crossref)","title":"The Enforcement of Pollution Control Laws: Inspections, Violations, and Self-Reporting","title-short":"The Enforcement of Pollution Control Laws","volume":"80","author":[{"family":"Helland","given":"Eric"}],"issued":{"date-parts":[["1998",2]]}},"label":"page","suppress-author":true}],"schema":"https://github.com/citation-style-language/schema/raw/master/csl-citation.json"}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(1998)</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for example, noted that agencies tend to engage in stricter enforcement in contexts where regulated entities report or exhibit poorer levels of compliance or fail to meet performance standards. Anderson et al. </w:t>
      </w:r>
      <w:r w:rsidRPr="00CC4E81">
        <w:rPr>
          <w:rFonts w:ascii="Times New Roman" w:hAnsi="Times New Roman" w:cs="Times New Roman"/>
          <w:sz w:val="24"/>
          <w:szCs w:val="24"/>
        </w:rPr>
        <w:fldChar w:fldCharType="begin"/>
      </w:r>
      <w:r w:rsidRPr="00CC4E81">
        <w:rPr>
          <w:rFonts w:ascii="Times New Roman" w:eastAsia="Garamond" w:hAnsi="Times New Roman" w:cs="Times New Roman"/>
          <w:sz w:val="24"/>
          <w:szCs w:val="24"/>
        </w:rPr>
        <w:instrText xml:space="preserve"> ADDIN ZOTERO_ITEM CSL_CITATION {"citationID":"ChFUNN8E","properties":{"formattedCitation":"(2022)","plainCitation":"(2022)","noteIndex":0},"citationItems":[{"id":1773,"uris":["http://zotero.org/users/3682065/items/F5JP3UQG"],"itemData":{"id":1773,"type":"article-journal","abstract":"ABSTRACT\n            Many companies regularly disclose non‐GAAP performance measures to communicate firm‐specific information that does not fit within the mold of GAAP reporting. However, these non‐GAAP measures may have low information content or even be misleading to investors. Thus, the question arises of whether auditors should play a larger role in the reporting of non‐GAAP measures, which currently are not audited. We run an experiment to provide ex ante evidence on the effect of auditing non‐GAAP measures. Specifically, we present investor‐participants with a non‐GAAP measure that should be used when making investment judgments (more informative) or should not be used when making investment judgments (less informative) and is either audited or is not audited. As predicted, we find that, when participants view a non‐GAAP measure that is more informative, they appropriately use the non‐GAAP measure in their investment‐related judgments, regardless of whether the measure is audited. However, also as predicted, we find that, while participants appropriately do not use a less informative non‐GAAP measure when it is not audited, participants inappropriately do use the less informative non‐GAAP measure in their investment‐related judgments when it is audited. Mediation results provide evidence consistent with audits affecting investors' reliance on non‐GAAP measures. Specifically, our results are consistent with audits of non‐GAAP measures signaling more than is intended, evidenced by investors perceiving an audited non‐GAAP measure as being useful in their investment decisions when the measure is less informative to them. Our findings suggest that regulators should exercise caution when it comes to prescribing assurance over non‐GAAP measures.\n          , \n            RÉSUMÉ\n            \n              \n                Auditer des mesures non conformes aux\n                PCGR\n                : fournir plus d'information que prévu\n              \n            \n            De nombreuses entreprises divulguent régulièrement des mesures de rendement non conformes aux PCGR pour communiquer de l'information propre à l'entreprise qui ne rentre pas dans le moule de l'information fondée sur les PCGR. Toutefois, ces mesures non conformes peuvent contenir moins d'information ou même induire en erreur les investisseurs. Par conséquent, on se demande si les auditeurs devraient jouer un plus grand rôle dans la communication de mesures non conformes aux PCGR, qui ne sont actuellement pas auditées. Nous effectuons une expérience pour fournir des données probantes ex ante sur l'effet de l'audit de mesures non conformes aux PCGR. Plus précisément, nous présentons à des investisseurs‐participants une mesure non conforme aux PCGR qui devrait être utilisée pour porter des jugements relatifs aux investissements (car elle est plus informative) ou ne devrait pas être utilisée pour porter de tels jugements (car elle est moins informative) et qui est soit auditée, soit non auditée. Comme prévu, nous montrons que, lorsque les participants voient une mesure non conforme qui est plus instructive, ils l'utilisent à juste titre pour porter des jugements en matière d'investissements, peu importe si la mesure est auditée ou non. Toutefois, comme nous l'avions également prévu, nous établissons que, bien que les participants n'utilisent pas, à juste titre, une mesure non conforme moins informative lorsqu'elle n'est pas auditée, ils utilisent à tort ce type de mesure pour porter des jugements en matière d'investissements lorsqu'elle est auditée. Les résultats de la médiation fournissent des données probantes confirmant que les audits influencent le recours des investisseurs aux mesures non conformes aux PCGR. Plus précisément, nos résultats vont dans le sens des audits de mesures non conformes aux PCGR qui semblent plus indicatifs qu'ils ne le sont, comme en font foi les investisseurs qui perçoivent une mesure non conforme aux PCGR auditée comme étant utile pour prendre des décisions d'investissement lorsque la mesure est moins informative. Nos résultats donnent à penser que les organismes de réglementation devraient faire preuve de prudence au moment de fournir une assurance fondée sur des mesures non conformes aux PCGR.","container-title":"Contemporary Accounting Research","DOI":"10.1111/1911-3846.12724","ISSN":"0823-9150, 1911-3846","issue":"1","journalAbbreviation":"Contemporary Accting Res","language":"English","page":"577-606","source":"DOI.org (Crossref)","title":"Auditing Non-GAAP Measures: Signaling More Than Intended","title-short":"Auditing &lt;span style=\"font-variant","volume":"39","author":[{"family":"Anderson","given":"Spencer B."},{"family":"Hobson","given":"Jessen L."},{"family":"Sommerfeldt","given":"Ryan D."}],"issued":{"date-parts":[["2022",3]]}},"suppress-author":true}],"schema":"https://github.com/citation-style-language/schema/raw/master/csl-citation.json"}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(2022)</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also found performance improvements when the disclosed information revealed that regulated entities’ failed to meet performance expectations of agency personnel. In other studies, information disclosure did not alter performance with cited reasons including regulated entities surpassed expectations and meeting performance standards </w:t>
      </w:r>
      <w:r w:rsidRPr="00CC4E81">
        <w:rPr>
          <w:rFonts w:ascii="Times New Roman" w:hAnsi="Times New Roman" w:cs="Times New Roman"/>
          <w:sz w:val="24"/>
          <w:szCs w:val="24"/>
        </w:rPr>
        <w:fldChar w:fldCharType="begin"/>
      </w:r>
      <w:r w:rsidRPr="00CC4E81">
        <w:rPr>
          <w:rFonts w:ascii="Times New Roman" w:eastAsia="Garamond" w:hAnsi="Times New Roman" w:cs="Times New Roman"/>
          <w:sz w:val="24"/>
          <w:szCs w:val="24"/>
        </w:rPr>
        <w:instrText xml:space="preserve"> ADDIN ZOTERO_ITEM CSL_CITATION {"citationID":"lMDyHUZF","properties":{"formattedCitation":"(Tremblay-Boire and Prakash 2015; Marquis, Toffel, and Zhou 2016)","plainCitation":"(Tremblay-Boire and Prakash 2015; Marquis, Toffel, and Zhou 2016)","noteIndex":0},"citationItems":[{"id":1778,"uris":["http://zotero.org/users/3682065/items/W68BJ9ZF"],"itemData":{"id":1778,"type":"article-journal","container-title":"VOLUNTAS: International Journal of Voluntary and Nonprofit Organizations","DOI":"10.1007/s11266-014-9452-3","ISSN":"0957-8765, 1573-7888","issue":"2","journalAbbreviation":"Voluntas","language":"en","page":"693-719","source":"DOI.org (Crossref)","title":"Accountability.org: Online Disclosures by U.S. Nonprofits","title-short":"Accountability.org","volume":"26","author":[{"family":"Tremblay-Boire","given":"Joannie"},{"family":"Prakash","given":"Aseem"}],"issued":{"date-parts":[["2015",4]]}}},{"id":1772,"uris":["http://zotero.org/users/3682065/items/4WI2QRGP"],"itemData":{"id":1772,"type":"article-journal","abstract":"Under increased pressure to report environmental impacts, some firms selectively disclose relatively benign impacts, creating an impression of transparency while masking their true performance. We theorize circumstances under which firms are less likely to engage in such selective disclosure, focusing on organizational and institutional factors that intensify scrutiny and expectations of transparency and that foster civil society mobilization. We test our hypotheses using a novel panel data set of 4,750 public companies across many industries that are headquartered in 45 countries during 2004–2007. Results show that firms that are more environmentally damaging, particularly those in countries where they are more exposed to scrutiny and global norms, are less likely to engage in selective disclosure. We discuss contributions to research on institutional theory, strategic management, and information disclosure.","container-title":"Organization Science","DOI":"10.1287/orsc.2015.1039","ISSN":"1047-7039, 1526-5455","issue":"2","journalAbbreviation":"Organization Science","language":"en","page":"483-504","source":"DOI.org (Crossref)","title":"Scrutiny, Norms, and Selective Disclosure: A Global Study of Greenwashing","title-short":"Scrutiny, Norms, and Selective Disclosure","volume":"27","author":[{"family":"Marquis","given":"Christopher"},{"family":"Toffel","given":"Michael W."},{"family":"Zhou","given":"Yanhua"}],"issued":{"date-parts":[["2016",3]]}}}],"schema":"https://github.com/citation-style-language/schema/raw/master/csl-citation.json"}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(Tremblay-Boire and Prakash 2015; Marquis, Toffel, and Zhou 2016)</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w:t>
      </w:r>
    </w:p>
    <w:p w14:paraId="53272D96" w14:textId="77777777" w:rsidR="00500C0B" w:rsidRPr="00CC4E81" w:rsidRDefault="00ED02EB">
      <w:pPr>
        <w:spacing w:after="0" w:line="480" w:lineRule="auto"/>
        <w:rPr>
          <w:rFonts w:ascii="Times New Roman" w:eastAsia="Garamond" w:hAnsi="Times New Roman" w:cs="Times New Roman"/>
          <w:sz w:val="24"/>
          <w:szCs w:val="24"/>
          <w14:ligatures w14:val="standard"/>
        </w:rPr>
      </w:pPr>
      <w:r w:rsidRPr="00CC4E81">
        <w:rPr>
          <w:rFonts w:ascii="Times New Roman" w:eastAsia="Garamond" w:hAnsi="Times New Roman" w:cs="Times New Roman"/>
          <w:i/>
          <w:iCs/>
          <w:sz w:val="24"/>
          <w:szCs w:val="24"/>
          <w14:ligatures w14:val="standard"/>
        </w:rPr>
        <w:t>Disclosure and Agency Performance</w:t>
      </w:r>
    </w:p>
    <w:p w14:paraId="7C3464AC" w14:textId="57C687B5" w:rsidR="00C46C81" w:rsidRPr="00CC4E81" w:rsidRDefault="00ED02EB" w:rsidP="00C46C81">
      <w:pPr>
        <w:spacing w:after="0" w:line="480" w:lineRule="auto"/>
        <w:ind w:left="-14" w:right="-14" w:firstLine="720"/>
        <w:rPr>
          <w:rFonts w:ascii="Times New Roman" w:eastAsia="Garamond" w:hAnsi="Times New Roman" w:cs="Times New Roman"/>
          <w:sz w:val="24"/>
          <w:szCs w:val="24"/>
        </w:rPr>
      </w:pPr>
      <w:r w:rsidRPr="00CC4E81">
        <w:rPr>
          <w:rFonts w:ascii="Times New Roman" w:eastAsia="Garamond" w:hAnsi="Times New Roman" w:cs="Times New Roman"/>
          <w:sz w:val="24"/>
          <w:szCs w:val="24"/>
          <w14:ligatures w14:val="standard"/>
        </w:rPr>
        <w:t xml:space="preserve">Scholars have also assessed the impact of information disclosure on performance </w:t>
      </w:r>
      <w:r w:rsidR="005D0FED" w:rsidRPr="00CC4E81">
        <w:rPr>
          <w:rFonts w:ascii="Times New Roman" w:eastAsia="Garamond" w:hAnsi="Times New Roman" w:cs="Times New Roman"/>
          <w:sz w:val="24"/>
          <w:szCs w:val="24"/>
          <w14:ligatures w14:val="standard"/>
        </w:rPr>
        <w:t>within</w:t>
      </w:r>
      <w:r w:rsidRPr="00CC4E81">
        <w:rPr>
          <w:rFonts w:ascii="Times New Roman" w:eastAsia="Garamond" w:hAnsi="Times New Roman" w:cs="Times New Roman"/>
          <w:sz w:val="24"/>
          <w:szCs w:val="24"/>
          <w14:ligatures w14:val="standard"/>
        </w:rPr>
        <w:t xml:space="preserve"> administrative agencies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{"citationID":"TGGR3ETJ","properties":{"formattedCitation":"(Konisky and Reenock 2013; Grimmelikhuijsen et al. 2013; Grimmelikhuijsen and Welch 2012; Moynihan and Pandey 2010; Scholz and Wei 1986)","plainCitation":"(Konisky and Reenock 2013; Grimmelikhuijsen et al. 2013; Grimmelikhuijsen and Welch 2012; Moynihan and Pandey 2010; Scholz and Wei 1986)","noteIndex":0},"citationItems":[{"id":1672,"uris":["http://zotero.org/users/3682065/items/PKL52TTI"],"itemData":{"id":1672,"type":"article-journal","container-title":"The Journal of Politics","DOI":"10.1017/S0022381613000170","ISSN":"0022-3816, 1468-2508","issue":"2","journalAbbreviation":"The Journal of Politics","language":"en","page":"506-519","source":"DOI.org (Crossref)","title":"Compliance Bias and Environmental (In)Justice","volume":"75","author":[{"family":"Konisky","given":"David M."},{"family":"Reenock","given":"Christopher"}],"issued":{"date-parts":[["2013",4]]}}},{"id":1754,"uris":["http://zotero.org/users/3682065/items/VZN3QTG9"],"itemData":{"id":1754,"type":"article-journal","abstract":"Transparency is considered a key value for trustworthy governments. However, the effect of transparency on citizens’ trust across national cultures is overlooked in current research. This article compares the effect of transparency on trust in government in the Netherlands and South Korea. The effect is investigated in two similar series of three experiments. The authors hypothesize that the effect of transparency differs because the countries have different cultural values regarding power distance and short‐ and long‐term orientation. Results reveal similar patterns in both countries: transparency has a subdued and sometimes negative effect on trust in government. However, the negative effect in South Korea is much stronger. The difference in the magnitude of transparency's effect suggests that national cultural values play a significant role in how people perceive and appreciate government transparency\n              .","container-title":"Public Administration Review","DOI":"10.1111/puar.12047","ISSN":"0033-3352, 1540-6210","issue":"4","journalAbbreviation":"Public Administration Review","language":"en","license":"http://onlinelibrary.wiley.com/termsAndConditions#vor","page":"575-586","source":"DOI.org (Crossref)","title":"The Effect of Transparency on Trust in Government: A Cross‐National Comparative Experiment","title-short":"The Effect of Transparency on Trust in Government","volume":"73","author":[{"family":"Grimmelikhuijsen","given":"Stephan"},{"family":"Porumbescu","given":"Gregory"},{"family":"Hong","given":"Boram"},{"family":"Im","given":"Tobin"}],"issued":{"date-parts":[["2013",7]]}}},{"id":1752,"uris":["http://zotero.org/users/3682065/items/CLSHFUZY"],"itemData":{"id":1752,"type":"article-journal","abstract":"This article contributes to the emerging literature on transparency by developing and empirically testing a theoretical framework that explains the determinants of local government Web site transparency. It aims to answer the following central question: What institutional factors determine the different dimensions of government transparency? The framework distinguishes three dimensions of transparency—decision making transparency, policy information transparency, and policy outcome transparency—and hypothesizes three explanations for each: organizational capacity, political influence, and group influence on government. Results indicate that each dimension of transparency is associated with different factors. Decision‐making transparency is associated with political influence; when left‐wing parties are strong in the local council, local government tends to be more transparent. Policy information transparency is associated with media attention and external group pressure, and policy outcome transparency is associated with both external group pressure and the organizational capacity. The authors discuss the implications for policy and administration.","container-title":"Public Administration Review","DOI":"10.1111/j.1540-6210.2011.02532.x","ISSN":"0033-3352, 1540-6210","issue":"4","journalAbbreviation":"Public Administration Review","language":"en","license":"http://onlinelibrary.wiley.com/termsAndConditions#vor","page":"562-571","source":"DOI.org (Crossref)","title":"Developing and Testing a Theoretical Framework for Computer‐Mediated Transparency of Local Governments","volume":"72","author":[{"family":"Grimmelikhuijsen","given":"Stephan"},{"family":"Welch","given":"Eric W."}],"issued":{"date-parts":[["2012",7]]}}},{"id":1790,"uris":["http://zotero.org/users/3682065/items/XDNAHHBP"],"itemData":{"id":1790,"type":"article-journal","container-title":"Journal of Public Administration Research and Theory","DOI":"10.1093/jopart/muq004","ISSN":"1053-1858, 1477-9803","issue":"4","journalAbbreviation":"Journal of Public Administration Research and Theory","language":"en","page":"849-866","source":"DOI.org (Crossref)","title":"The Big Question for Performance Management: Why Do Managers Use Performance Information?","title-short":"The Big Question for Performance Management","volume":"20","author":[{"family":"Moynihan","given":"D. P."},{"family":"Pandey","given":"S. K."}],"issued":{"date-parts":[["2010",10,1]]}}},{"id":1789,"uris":["http://zotero.org/users/3682065/items/DUBM2MAS"],"itemData":{"id":1789,"type":"article-journal","abstract":"Federal agencies integrate federal, state, and local political demands at the operational level of service delivery. They balance conflicting political demands and task requirements as they attempt to develop feasible enforcement routines capable of attracting support and resources in multiple arenas without undermining central support for budgetary resources and statutory authority. Our regression analysis of annual enforcement data from 1976 through 1983 for all 50 states indicates that even the relatively isolated enforcement procedures of the Occupational Safety and Health Administration respond significantly to state-level political and task differences. Enforcement activities responded most consistently to daily enforcement contacts with interest groups. State differences in task conditions—particularly workplace accident and unemployment rates—also elicited instrumental responses, while differences in the party and ideology of elected officials elicited more symbolic actions. State agencies, with their smaller size and greater flexibility, were even more responsive than the federal agency to political and task differences. This integrative function of bureaucracy needs further attention in democratic theory.","container-title":"American Political Science Review","DOI":"10.2307/1960866","ISSN":"0003-0554, 1537-5943","issue":"4","journalAbbreviation":"Am Polit Sci Rev","language":"en","license":"https://www.cambridge.org/core/terms","page":"1249-1270","source":"DOI.org (Crossref)","title":"Regulatory Enforcement in a Federalist System","volume":"80","author":[{"family":"Scholz","given":"John T."},{"family":"Wei","given":"Feng Heng"}],"issued":{"date-parts":[["1986",12,1]]}}}],"schema":"https://github.com/citation-style-language/schema/raw/master/csl-citation.json"} </w:instrText>
      </w:r>
      <w:r w:rsidRPr="00CC4E81">
        <w:rPr>
          <w:rFonts w:ascii="Times New Roman" w:eastAsia="Garamond" w:hAnsi="Times New Roman" w:cs="Times New Roman"/>
          <w:sz w:val="24"/>
          <w:szCs w:val="24"/>
        </w:rPr>
        <w:fldChar w:fldCharType="separate"/>
      </w:r>
      <w:r w:rsidR="00B80B38" w:rsidRPr="00CC4E81">
        <w:rPr>
          <w:rFonts w:ascii="Times New Roman" w:hAnsi="Times New Roman" w:cs="Times New Roman"/>
          <w:sz w:val="24"/>
          <w:szCs w:val="24"/>
        </w:rPr>
        <w:t>(Konisky and Reenock 2013; Grimmelikhuijsen et al. 2013; Grimmelikhuijsen and Welch 2012; Moynihan and Pandey 2010; Scholz and Wei 1986)</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For </w:t>
      </w:r>
      <w:r w:rsidR="00B3052E" w:rsidRPr="00CC4E81">
        <w:rPr>
          <w:rFonts w:ascii="Times New Roman" w:eastAsia="Garamond" w:hAnsi="Times New Roman" w:cs="Times New Roman"/>
          <w:sz w:val="24"/>
          <w:szCs w:val="24"/>
          <w14:ligatures w14:val="standard"/>
        </w:rPr>
        <w:t xml:space="preserve">public </w:t>
      </w:r>
      <w:r w:rsidRPr="00CC4E81">
        <w:rPr>
          <w:rFonts w:ascii="Times New Roman" w:eastAsia="Garamond" w:hAnsi="Times New Roman" w:cs="Times New Roman"/>
          <w:sz w:val="24"/>
          <w:szCs w:val="24"/>
          <w14:ligatures w14:val="standard"/>
        </w:rPr>
        <w:t xml:space="preserve">administrators, greater transparency of performance-related information may shape behaviors by altering (1) the perceived </w:t>
      </w:r>
      <w:r w:rsidR="005D0FED" w:rsidRPr="00CC4E81">
        <w:rPr>
          <w:rFonts w:ascii="Times New Roman" w:eastAsia="Garamond" w:hAnsi="Times New Roman" w:cs="Times New Roman"/>
          <w:sz w:val="24"/>
          <w:szCs w:val="24"/>
          <w14:ligatures w14:val="standard"/>
        </w:rPr>
        <w:t xml:space="preserve">vs. the actual </w:t>
      </w:r>
      <w:r w:rsidRPr="00CC4E81">
        <w:rPr>
          <w:rFonts w:ascii="Times New Roman" w:eastAsia="Garamond" w:hAnsi="Times New Roman" w:cs="Times New Roman"/>
          <w:sz w:val="24"/>
          <w:szCs w:val="24"/>
          <w14:ligatures w14:val="standard"/>
        </w:rPr>
        <w:t xml:space="preserve">environmental performance of regulated </w:t>
      </w:r>
      <w:r w:rsidRPr="00CC4E81">
        <w:rPr>
          <w:rFonts w:ascii="Times New Roman" w:eastAsia="Garamond" w:hAnsi="Times New Roman" w:cs="Times New Roman"/>
          <w:sz w:val="24"/>
          <w:szCs w:val="24"/>
          <w14:ligatures w14:val="standard"/>
        </w:rPr>
        <w:lastRenderedPageBreak/>
        <w:t>entities and (2) the political calculus made by overseers</w:t>
      </w:r>
      <w:r w:rsidR="005D0FED" w:rsidRPr="00CC4E81">
        <w:rPr>
          <w:rFonts w:ascii="Times New Roman" w:eastAsia="Garamond" w:hAnsi="Times New Roman" w:cs="Times New Roman"/>
          <w:sz w:val="24"/>
          <w:szCs w:val="24"/>
          <w14:ligatures w14:val="standard"/>
        </w:rPr>
        <w:t xml:space="preserve"> including elected officials</w:t>
      </w:r>
      <w:r w:rsidR="000815BB" w:rsidRPr="00CC4E81">
        <w:rPr>
          <w:rFonts w:ascii="Times New Roman" w:eastAsia="Garamond" w:hAnsi="Times New Roman" w:cs="Times New Roman"/>
          <w:sz w:val="24"/>
          <w:szCs w:val="24"/>
          <w14:ligatures w14:val="standard"/>
        </w:rPr>
        <w:t xml:space="preserve">. Extant research has </w:t>
      </w:r>
      <w:r w:rsidR="005D0FED" w:rsidRPr="00CC4E81">
        <w:rPr>
          <w:rFonts w:ascii="Times New Roman" w:eastAsia="Garamond" w:hAnsi="Times New Roman" w:cs="Times New Roman"/>
          <w:sz w:val="24"/>
          <w:szCs w:val="24"/>
          <w14:ligatures w14:val="standard"/>
        </w:rPr>
        <w:t xml:space="preserve">found evidence of both mechanisms </w:t>
      </w:r>
      <w:r w:rsidR="000815BB" w:rsidRPr="00CC4E81">
        <w:rPr>
          <w:rFonts w:ascii="Times New Roman" w:hAnsi="Times New Roman" w:cs="Times New Roman"/>
          <w:sz w:val="24"/>
          <w:szCs w:val="24"/>
        </w:rPr>
        <w:fldChar w:fldCharType="begin"/>
      </w:r>
      <w:r w:rsidR="00F92DB3" w:rsidRPr="00CC4E81">
        <w:rPr>
          <w:rFonts w:ascii="Times New Roman" w:eastAsia="Garamond" w:hAnsi="Times New Roman" w:cs="Times New Roman"/>
          <w:sz w:val="24"/>
          <w:szCs w:val="24"/>
        </w:rPr>
        <w:instrText xml:space="preserve"> ADDIN ZOTERO_ITEM CSL_CITATION {"citationID":"HgESwqNs","properties":{"formattedCitation":"(Hansen and Nielsen 2022)","plainCitation":"(Hansen and Nielsen 2022)","noteIndex":0},"citationItems":[{"id":1788,"uris":["http://zotero.org/users/3682065/items/8WYQLE7F"],"itemData":{"id":1788,"type":"article-journal","abstract":"Abstract\n            \n              \n              \n                Management decisions are considered important for the performance of public organizations, but how does information about performance influence management decision‐making? Developed from Simon's notion of bounded rationality, the behavioral model of performance‐based learning suggests that managers adjust their understanding of organizational problems, search for information, and consider initiating change when their organization performs below aspirations. In this paper, we offer experimental evidence of how performance information affects the attitudes and decision‐making of public managers. We leverage two experiments conducted among managers in public education. Study 1 uses a question‐order experiment to prime only treated respondents to consider performance, whereas study 2 uses treatments with high‐ and low‐performance signals. We find that low performance affects problem focus but not managers' intention to conduct innovative search. We also find that low‐performance signals increase preferences for immediate performance‐oriented changes but not for other types of changes. We discuss the implications for management decision‐making.\n              \n            \n            \n              Evidence for Practice\n              \n                \n                  \n                    Performance information holds the potential to generate organizational learning and inform public managers' decisions about important problems, priorities, and organizational change.\n                  \n                  \n                    Public managers become more focused on direct performance‐oriented changes when performance is low, whereas high performance lets them engage in other types of changes.\n                  \n                  \n                    Performance information alone does not ensure that public managers are focused on generating innovative solutions to performance problems.","container-title":"Public Administration Review","DOI":"10.1111/puar.13533","ISSN":"0033-3352, 1540-6210","issue":"5","journalAbbreviation":"Public Administration Review","language":"en","page":"946-957","source":"DOI.org (Crossref)","title":"How Do Public Managers Learn from Performance Information? Experimental Evidence on Problem Focus, Innovative Search, and Change","title-short":"How Do Public Managers Learn from Performance Information?","volume":"82","author":[{"family":"Hansen","given":"Jesper Asring"},{"family":"Nielsen","given":"Poul Aaes"}],"issued":{"date-parts":[["2022",9]]}}}],"schema":"https://github.com/citation-style-language/schema/raw/master/csl-citation.json"} </w:instrText>
      </w:r>
      <w:r w:rsidR="000815BB" w:rsidRPr="00CC4E81">
        <w:rPr>
          <w:rFonts w:ascii="Times New Roman" w:eastAsia="Garamond" w:hAnsi="Times New Roman" w:cs="Times New Roman"/>
          <w:sz w:val="24"/>
          <w:szCs w:val="24"/>
        </w:rPr>
        <w:fldChar w:fldCharType="separate"/>
      </w:r>
      <w:r w:rsidR="00F92DB3" w:rsidRPr="00CC4E81">
        <w:rPr>
          <w:rFonts w:ascii="Times New Roman" w:hAnsi="Times New Roman" w:cs="Times New Roman"/>
          <w:sz w:val="24"/>
        </w:rPr>
        <w:t>(Hansen and Nielsen 2022)</w:t>
      </w:r>
      <w:r w:rsidR="000815BB" w:rsidRPr="00CC4E81">
        <w:rPr>
          <w:rFonts w:ascii="Times New Roman" w:eastAsia="Garamond" w:hAnsi="Times New Roman" w:cs="Times New Roman"/>
          <w:sz w:val="24"/>
          <w:szCs w:val="24"/>
        </w:rPr>
        <w:fldChar w:fldCharType="end"/>
      </w:r>
      <w:r w:rsidR="000815BB" w:rsidRPr="00CC4E81">
        <w:rPr>
          <w:rFonts w:ascii="Times New Roman" w:eastAsia="Garamond" w:hAnsi="Times New Roman" w:cs="Times New Roman"/>
          <w:sz w:val="24"/>
          <w:szCs w:val="24"/>
        </w:rPr>
        <w:t>.</w:t>
      </w:r>
    </w:p>
    <w:p w14:paraId="5F8D40A8" w14:textId="0DA2FE09" w:rsidR="00500C0B" w:rsidRPr="00CC4E81" w:rsidRDefault="00ED02EB">
      <w:pPr>
        <w:spacing w:after="0" w:line="480" w:lineRule="auto"/>
        <w:ind w:firstLine="706"/>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 xml:space="preserve">The information environment may also influence regulators' performance level by altering the political calculus of stakeholders, including the applicable administrative agencies </w:t>
      </w:r>
      <w:r w:rsidR="000447EE" w:rsidRPr="00CC4E81">
        <w:rPr>
          <w:rFonts w:ascii="Times New Roman" w:eastAsia="Garamond" w:hAnsi="Times New Roman" w:cs="Times New Roman"/>
          <w:sz w:val="24"/>
          <w:szCs w:val="24"/>
          <w14:ligatures w14:val="standard"/>
        </w:rPr>
        <w:t xml:space="preserve">and relevant elected officials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{"citationID":"ujJCiV3u","properties":{"formattedCitation":"(Lee 2022; Meier et al. 2022; Bustos 2021; Etienne 2015; Moynihan and Soss 2014)","plainCitation":"(Lee 2022; Meier et al. 2022; Bustos 2021; Etienne 2015; Moynihan and Soss 2014)","noteIndex":0},"citationItems":[{"id":1767,"uris":["http://zotero.org/users/3682065/items/DTYUIVBU"],"itemData":{"id":1767,"type":"article-journal","abstract":"Abstract\n            Research on bureaucratic reputation has found that public organizations respond strategically to reputational threats. To understand better the way public organizations should communicate with their external audiences, upon which they depend for necessary resources and democratic legitimacy, this study examines the effectiveness of various communication strategies that agencies often use in response to a crisis. The results of a series of vignette experiments involving US adults show that an agency's communication strategy in response to crises does indeed influence citizens' reputation judgments. Specifically, compared with remaining silent, organizations that offer the public explanations of crises mitigate their reputational losses more effectively. Further, this study finds that people's prior reputation judgments and the nature of the crisis itself are important factors involved in the formation of reputation judgments, although these findings contradict communication theories. The implications for theory and practice are discussed.","container-title":"Public Administration Review","DOI":"10.1111/puar.13520","ISSN":"0033-3352, 1540-6210","issue":"6","journalAbbreviation":"Public Administration Review","language":"en","page":"1124-1137","source":"DOI.org (Crossref)","title":"Managing bureaucratic reputation in the face of crises: An experimental examination of the effect of strategic communication","title-short":"Managing bureaucratic reputation in the face of crises","volume":"82","author":[{"family":"Lee","given":"Danbee"}],"issued":{"date-parts":[["2022",11]]}}},{"id":1792,"uris":["http://zotero.org/users/3682065/items/GQMJETVY"],"itemData":{"id":1792,"type":"article-journal","abstract":"Abstract\n            \n              \n              \n                Reporting government performance to the public is key tool in improving accountability. Some evidence, however, has shown that individuals’ anti‐public sector biases may distort performance information about public organizations. Using an experimental vignette on U.S. nursing homes, this study fills four gaps in the literature: (1) the need to include nonprofit organizations rather than just public and for‐profit, (2) consideration of the credibility of the source of performance information, (3) the use of simple commonly used performance metrics, and (4) the willingness to use services as a performance dimension. We find the public has a general but modest anti‐for‐profit sector bias in nursing home care with nonprofits perceived the most positively. Sector biases generally disappear when clear performance data are presented. The credibility of the source matters, and respondents' willingness to use organizational services is more sensitive to both sector bias and performance ratings than are performance measures\n                .\n              \n            \n            \n              Practitioner Points\n              \n                \n                  \n                    In the field of long‐term care, individuals have no anti‐public sector bias, and they have more favorable views of nonprofit organizations than for‐profit organizations.\n                  \n                  \n                    Perceived sector bias disappears when simple and unambiguous performance information is introduced.\n                  \n                  \n                    The source of performance information matters: individuals perceive the information from government and nonprofit sources as more credible than that from for‐profit sources.\n                  \n                  \n                    A high degree of credibility amplifies the effect of performance information in shaping individuals’ evaluations of public services.","container-title":"Public Administration Review","DOI":"10.1111/puar.13425","ISSN":"0033-3352, 1540-6210","issue":"1","journalAbbreviation":"Public Administration Review","language":"en","page":"69-82","source":"DOI.org (Crossref)","title":"Sector Bias and the Credibility of Performance Information: An Experimental Study of Elder Care Provision","title-short":"Sector Bias and the Credibility of Performance Information","volume":"82","author":[{"family":"Meier","given":"Kenneth J."},{"family":"Song","given":"Miyeon"},{"family":"Davis","given":"Jourdan A."},{"family":"Amirkhanyan","given":"Anna A."}],"issued":{"date-parts":[["2022",1]]}}},{"id":1743,"uris":["http://zotero.org/users/3682065/items/FADQZWBF"],"itemData":{"id":1743,"type":"article-journal","abstract":"Abstract\n            \n              \n              \n                Despite the increasing number of publications on organizational reputation in the public administration throughout the last two decades, no systematic review has been conducted to synthesize the current state of the literature. This article contributes to this issue by bringing together empirical and theoretical academic research—119 articles and seven books—to analyze five critical aspects of this scholarship: conceptualization, types implemented, antecedents, outcomes, and multidimensionality. This work provides an overview of the field while identifying five critical areas for further research: reputational audiences, public leaders\n                ’\n                impact on reputation, development of typologies based on the characteristics of reputation, the use of standardized methods to conduct more cross‐country studies, and research on a wider variety of cultural and organizational contexts\n                .","container-title":"Public Administration Review","DOI":"10.1111/puar.13363","ISSN":"0033-3352, 1540-6210","issue":"4","journalAbbreviation":"Public Administration Review","language":"en","page":"731-751","source":"DOI.org (Crossref)","title":"Organizational Reputation in the Public Administration: A Systematic Literature Review","title-short":"Organizational Reputation in the Public Administration","volume":"81","author":[{"family":"Bustos","given":"Edgar O."}],"issued":{"date-parts":[["2021",7]]}}},{"id":1750,"uris":["http://zotero.org/users/3682065/items/YKF4T4CV"],"itemData":{"id":1750,"type":"article-journal","container-title":"Journal of Public Administration Research and Theory","DOI":"10.1093/jopart/muu018","ISSN":"1053-1858, 1477-9803","issue":"1","journalAbbreviation":"Journal of Public Administration Research and Theory","language":"en","page":"257-284","source":"DOI.org (Crossref)","title":"The Politics of Detection in Business Regulation","volume":"25","author":[{"family":"Etienne","given":"J."}],"issued":{"date-parts":[["2015",1,1]]}}},{"id":1783,"uris":["http://zotero.org/users/3682065/items/BAU462BB"],"itemData":{"id":1783,"type":"article-journal","abstract":"This article surveys the policy feedback framework developed in political science and clarifies its implications for public administration. A feedback perspective encourages us to ask how policy implementation transforms the webs of political relations that constitute governance. Administrators play a key role in shaping the political conditions of bureaucratic performance and the organization of power in the broader polity. At the same time, this perspective underscores that policies are more than just objects of administrative action. Policies are political forces in their own right that can alter key components of administration, including phenomena such as organizational capacity, structures, routines, authorities, motivations and cultures. These sorts of administrative themes have received little attention in policy feedback research, just as the political effects of policies have been overlooked in public administration studies. Bridging these perspectives offers a basis for exciting new agendas and advances in public administration research\n              .","container-title":"Public Administration Review","DOI":"10.1111/puar.12200","ISSN":"0033-3352, 1540-6210","issue":"3","journalAbbreviation":"Public Administration Review","language":"en","license":"http://onlinelibrary.wiley.com/termsAndConditions#vor","page":"320-332","source":"DOI.org (Crossref)","title":"Policy Feedback and the Politics of Administration","volume":"74","author":[{"family":"Moynihan","given":"D. P."},{"family":"Soss","given":"J."}],"issued":{"date-parts":[["2014",5]]}}}],"schema":"https://github.com/citation-style-language/schema/raw/master/csl-citation.json"} </w:instrText>
      </w:r>
      <w:r w:rsidRPr="00CC4E81">
        <w:rPr>
          <w:rFonts w:ascii="Times New Roman" w:eastAsia="Garamond" w:hAnsi="Times New Roman" w:cs="Times New Roman"/>
          <w:sz w:val="24"/>
          <w:szCs w:val="24"/>
        </w:rPr>
        <w:fldChar w:fldCharType="separate"/>
      </w:r>
      <w:r w:rsidR="00B80B38" w:rsidRPr="00CC4E81">
        <w:rPr>
          <w:rFonts w:ascii="Times New Roman" w:hAnsi="Times New Roman" w:cs="Times New Roman"/>
          <w:sz w:val="24"/>
          <w:szCs w:val="24"/>
        </w:rPr>
        <w:t>(Lee 2022; Meier et al. 2022; Bustos 2021; Etienne 2015; Moynihan and Soss 2014)</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r w:rsidR="000447EE" w:rsidRPr="00CC4E81">
        <w:rPr>
          <w:rFonts w:ascii="Times New Roman" w:eastAsia="Garamond" w:hAnsi="Times New Roman" w:cs="Times New Roman"/>
          <w:sz w:val="24"/>
          <w:szCs w:val="24"/>
          <w14:ligatures w14:val="standard"/>
        </w:rPr>
        <w:t>Here</w:t>
      </w:r>
      <w:r w:rsidRPr="00CC4E81">
        <w:rPr>
          <w:rFonts w:ascii="Times New Roman" w:eastAsia="Garamond" w:hAnsi="Times New Roman" w:cs="Times New Roman"/>
          <w:sz w:val="24"/>
          <w:szCs w:val="24"/>
          <w14:ligatures w14:val="standard"/>
        </w:rPr>
        <w:t>,</w:t>
      </w:r>
      <w:r w:rsidR="000447EE" w:rsidRPr="00CC4E81">
        <w:rPr>
          <w:rFonts w:ascii="Times New Roman" w:eastAsia="Garamond" w:hAnsi="Times New Roman" w:cs="Times New Roman"/>
          <w:sz w:val="24"/>
          <w:szCs w:val="24"/>
          <w14:ligatures w14:val="standard"/>
        </w:rPr>
        <w:t xml:space="preserve"> the disclosure</w:t>
      </w:r>
      <w:r w:rsidR="003769A5" w:rsidRPr="00CC4E81">
        <w:rPr>
          <w:rFonts w:ascii="Times New Roman" w:eastAsia="Garamond" w:hAnsi="Times New Roman" w:cs="Times New Roman"/>
          <w:sz w:val="24"/>
          <w:szCs w:val="24"/>
          <w14:ligatures w14:val="standard"/>
        </w:rPr>
        <w:t xml:space="preserve"> of</w:t>
      </w:r>
      <w:r w:rsidRPr="00CC4E81">
        <w:rPr>
          <w:rFonts w:ascii="Times New Roman" w:eastAsia="Garamond" w:hAnsi="Times New Roman" w:cs="Times New Roman"/>
          <w:sz w:val="24"/>
          <w:szCs w:val="24"/>
          <w14:ligatures w14:val="standard"/>
        </w:rPr>
        <w:t xml:space="preserve"> information that </w:t>
      </w:r>
      <w:r w:rsidR="000447EE" w:rsidRPr="00CC4E81">
        <w:rPr>
          <w:rFonts w:ascii="Times New Roman" w:eastAsia="Garamond" w:hAnsi="Times New Roman" w:cs="Times New Roman"/>
          <w:sz w:val="24"/>
          <w:szCs w:val="24"/>
          <w14:ligatures w14:val="standard"/>
        </w:rPr>
        <w:t>challenges how stakeholders assess and/or view the agency’s performance</w:t>
      </w:r>
      <w:r w:rsidRPr="00CC4E81">
        <w:rPr>
          <w:rFonts w:ascii="Times New Roman" w:eastAsia="Garamond" w:hAnsi="Times New Roman" w:cs="Times New Roman"/>
          <w:sz w:val="24"/>
          <w:szCs w:val="24"/>
          <w14:ligatures w14:val="standard"/>
        </w:rPr>
        <w:t xml:space="preserve"> is more likely to </w:t>
      </w:r>
      <w:r w:rsidR="000447EE" w:rsidRPr="00CC4E81">
        <w:rPr>
          <w:rFonts w:ascii="Times New Roman" w:eastAsia="Garamond" w:hAnsi="Times New Roman" w:cs="Times New Roman"/>
          <w:sz w:val="24"/>
          <w:szCs w:val="24"/>
          <w14:ligatures w14:val="standard"/>
        </w:rPr>
        <w:t>contribute to changes in the political calculus</w:t>
      </w:r>
      <w:r w:rsidR="003769A5" w:rsidRPr="00CC4E81">
        <w:rPr>
          <w:rFonts w:ascii="Times New Roman" w:eastAsia="Garamond" w:hAnsi="Times New Roman" w:cs="Times New Roman"/>
          <w:sz w:val="24"/>
          <w:szCs w:val="24"/>
          <w14:ligatures w14:val="standard"/>
        </w:rPr>
        <w:t xml:space="preserve"> of stakeholders</w:t>
      </w:r>
      <w:r w:rsidR="000447EE" w:rsidRPr="00CC4E81">
        <w:rPr>
          <w:rFonts w:ascii="Times New Roman" w:eastAsia="Garamond" w:hAnsi="Times New Roman" w:cs="Times New Roman"/>
          <w:sz w:val="24"/>
          <w:szCs w:val="24"/>
          <w14:ligatures w14:val="standard"/>
        </w:rPr>
        <w:t xml:space="preserve">, and thus </w:t>
      </w:r>
      <w:r w:rsidR="003769A5" w:rsidRPr="00CC4E81">
        <w:rPr>
          <w:rFonts w:ascii="Times New Roman" w:eastAsia="Garamond" w:hAnsi="Times New Roman" w:cs="Times New Roman"/>
          <w:sz w:val="24"/>
          <w:szCs w:val="24"/>
          <w14:ligatures w14:val="standard"/>
        </w:rPr>
        <w:t>is more likely to affect the</w:t>
      </w:r>
      <w:r w:rsidRPr="00CC4E81">
        <w:rPr>
          <w:rFonts w:ascii="Times New Roman" w:eastAsia="Garamond" w:hAnsi="Times New Roman" w:cs="Times New Roman"/>
          <w:sz w:val="24"/>
          <w:szCs w:val="24"/>
          <w14:ligatures w14:val="standard"/>
        </w:rPr>
        <w:t xml:space="preserve"> agency’s</w:t>
      </w:r>
      <w:r w:rsidR="000447EE" w:rsidRPr="00CC4E81">
        <w:rPr>
          <w:rFonts w:ascii="Times New Roman" w:eastAsia="Garamond" w:hAnsi="Times New Roman" w:cs="Times New Roman"/>
          <w:sz w:val="24"/>
          <w:szCs w:val="24"/>
          <w14:ligatures w14:val="standard"/>
        </w:rPr>
        <w:t xml:space="preserve"> future</w:t>
      </w:r>
      <w:r w:rsidRPr="00CC4E81">
        <w:rPr>
          <w:rFonts w:ascii="Times New Roman" w:eastAsia="Garamond" w:hAnsi="Times New Roman" w:cs="Times New Roman"/>
          <w:sz w:val="24"/>
          <w:szCs w:val="24"/>
          <w14:ligatures w14:val="standard"/>
        </w:rPr>
        <w:t xml:space="preserve"> performance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{"citationID":"HB2fjmVT","properties":{"formattedCitation":"(Carpenter and Krause 2012; Moynihan and Hawes 2012)","plainCitation":"(Carpenter and Krause 2012; Moynihan and Hawes 2012)","noteIndex":0},"citationItems":[{"id":1738,"uris":["http://zotero.org/users/3682065/items/VAMKT9DY"],"itemData":{"id":1738,"type":"article-journal","abstract":"[This article examines the application of organizational reputation to public administration. Organizational reputation is defined as a set of beliefs about an organizations capacities, intentions, history, and mission that are embedded in a network of multiple audiences. The authors assert that the way in which organizational reputations are formed and subsequently cultivated is fundamental to understanding the role of public administration in a democracy. A review of the basic assumptions and empirical work on organizational reputation in the public sector identifies a series of stylized facts that extends our understanding of the functioning of public agencies. InparticuUr, the authors examine the relationship between organizational reputation and bureaucratic autonomy.]","archive":"JSTOR","container-title":"Public Administration Review","DOI":"https://doi.org/10.1111/j.1540-6210.2011.02506.x","ISSN":"00333352, 15406210","issue":"1","note":"publisher: Wiley","page":"26-32","title":"Reputation and Public Administration","volume":"72","author":[{"family":"Carpenter","given":"Daniel P."},{"family":"Krause","given":"George A."}],"issued":{"date-parts":[["2012"]]}}},{"id":1791,"uris":["http://zotero.org/users/3682065/items/RXYFYCGI"],"itemData":{"id":1791,"type":"article-journal","abstract":"Administrative reforms encode a set of behavioral expectations for bureaucrats to follow. The authors argue that scholars can usefully contribute to understanding accountability by studying whether bureaucrats follow these expectations and what factors encourage such responsiveness to reform values. To demonstrate this approach, the authors examine performance infor‐mation use as a behavioral measure of responsiveness to results‐based reforms. Using a sample of Texas school superintendents, they find that general openness to the environment goes hand in hand with responsiveness to reform values. The authors propose that such a pattern will hold when reform values align with environmental preferences. The perceived influence of stakeholders, networking with stakeholders, and reliance on partnerships all positively predict performance information use. Environments marked by student diversity and stakeholder conflict also correlate with higher use of performance data, while capacity, less managerial experience, and a unified organizational culture correlate positively with higher reported performance information use.","container-title":"Public Administration Review","DOI":"10.1111/j.1540-6210.2012.02653.x","ISSN":"0033-3352, 1540-6210","issue":"s1","journalAbbreviation":"Public Administration Review","language":"en","license":"http://onlinelibrary.wiley.com/termsAndConditions#vor","source":"DOI.org (Crossref)","title":"Responsiveness to Reform Values: The Influence of the Environment on Performance Information Use","title-short":"Responsiveness to Reform Values","URL":"https://onlinelibrary.wiley.com/doi/10.1111/j.1540-6210.2012.02653.x","volume":"72","author":[{"family":"Moynihan","given":"D. P."},{"family":"Hawes","given":"D. P."}],"accessed":{"date-parts":[["2025",4,5]]},"issued":{"date-parts":[["2012",11]]}}}],"schema":"https://github.com/citation-style-language/schema/raw/master/csl-citation.json"} </w:instrText>
      </w:r>
      <w:r w:rsidRPr="00CC4E81">
        <w:rPr>
          <w:rFonts w:ascii="Times New Roman" w:eastAsia="Garamond" w:hAnsi="Times New Roman" w:cs="Times New Roman"/>
          <w:sz w:val="24"/>
          <w:szCs w:val="24"/>
        </w:rPr>
        <w:fldChar w:fldCharType="separate"/>
      </w:r>
      <w:r w:rsidR="00B80B38" w:rsidRPr="00CC4E81">
        <w:rPr>
          <w:rFonts w:ascii="Times New Roman" w:hAnsi="Times New Roman" w:cs="Times New Roman"/>
          <w:sz w:val="24"/>
          <w:szCs w:val="24"/>
        </w:rPr>
        <w:t>(Carpenter and Krause 2012; Moynihan and Hawes 2012)</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To date, research has unearthed a variety of mechanisms</w:t>
      </w:r>
      <w:r w:rsidR="000447EE" w:rsidRPr="00CC4E81">
        <w:rPr>
          <w:rFonts w:ascii="Times New Roman" w:eastAsia="Garamond" w:hAnsi="Times New Roman" w:cs="Times New Roman"/>
          <w:sz w:val="24"/>
          <w:szCs w:val="24"/>
          <w14:ligatures w14:val="standard"/>
        </w:rPr>
        <w:t xml:space="preserve"> contributing to this </w:t>
      </w:r>
      <w:r w:rsidR="003769A5" w:rsidRPr="00CC4E81">
        <w:rPr>
          <w:rFonts w:ascii="Times New Roman" w:eastAsia="Garamond" w:hAnsi="Times New Roman" w:cs="Times New Roman"/>
          <w:sz w:val="24"/>
          <w:szCs w:val="24"/>
          <w14:ligatures w14:val="standard"/>
        </w:rPr>
        <w:t>dynamic</w:t>
      </w:r>
      <w:r w:rsidRPr="00CC4E81">
        <w:rPr>
          <w:rFonts w:ascii="Times New Roman" w:eastAsia="Garamond" w:hAnsi="Times New Roman" w:cs="Times New Roman"/>
          <w:sz w:val="24"/>
          <w:szCs w:val="24"/>
          <w14:ligatures w14:val="standard"/>
        </w:rPr>
        <w:t xml:space="preserve">. Carpenter and Krause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{"citationID":"Z2bBMnbx","properties":{"formattedCitation":"(2012)","plainCitation":"(2012)","noteIndex":0},"citationItems":[{"id":1738,"uris":["http://zotero.org/users/3682065/items/VAMKT9DY"],"itemData":{"id":1738,"type":"article-journal","abstract":"[This article examines the application of organizational reputation to public administration. Organizational reputation is defined as a set of beliefs about an organizations capacities, intentions, history, and mission that are embedded in a network of multiple audiences. The authors assert that the way in which organizational reputations are formed and subsequently cultivated is fundamental to understanding the role of public administration in a democracy. A review of the basic assumptions and empirical work on organizational reputation in the public sector identifies a series of stylized facts that extends our understanding of the functioning of public agencies. InparticuUr, the authors examine the relationship between organizational reputation and bureaucratic autonomy.]","archive":"JSTOR","container-title":"Public Administration Review","DOI":"https://doi.org/10.1111/j.1540-6210.2011.02506.x","ISSN":"00333352, 15406210","issue":"1","note":"publisher: Wiley","page":"26-32","title":"Reputation and Public Administration","volume":"72","author":[{"family":"Carpenter","given":"Daniel P."},{"family":"Krause","given":"George A."}],"issued":{"date-parts":[["2012"]]}},"suppress-author":true}],"schema":"https://github.com/citation-style-language/schema/raw/master/csl-citation.json"}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(2012)</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and Moynihan and Hawes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{"citationID":"R5yKNXFB","properties":{"formattedCitation":"(2012)","plainCitation":"(2012)","noteIndex":0},"citationItems":[{"id":1791,"uris":["http://zotero.org/users/3682065/items/RXYFYCGI"],"itemData":{"id":1791,"type":"article-journal","abstract":"Administrative reforms encode a set of behavioral expectations for bureaucrats to follow. The authors argue that scholars can usefully contribute to understanding accountability by studying whether bureaucrats follow these expectations and what factors encourage such responsiveness to reform values. To demonstrate this approach, the authors examine performance infor‐mation use as a behavioral measure of responsiveness to results‐based reforms. Using a sample of Texas school superintendents, they find that general openness to the environment goes hand in hand with responsiveness to reform values. The authors propose that such a pattern will hold when reform values align with environmental preferences. The perceived influence of stakeholders, networking with stakeholders, and reliance on partnerships all positively predict performance information use. Environments marked by student diversity and stakeholder conflict also correlate with higher use of performance data, while capacity, less managerial experience, and a unified organizational culture correlate positively with higher reported performance information use.","container-title":"Public Administration Review","DOI":"10.1111/j.1540-6210.2012.02653.x","ISSN":"0033-3352, 1540-6210","issue":"s1","journalAbbreviation":"Public Administration Review","language":"en","license":"http://onlinelibrary.wiley.com/termsAndConditions#vor","source":"DOI.org (Crossref)","title":"Responsiveness to Reform Values: The Influence of the Environment on Performance Information Use","title-short":"Responsiveness to Reform Values","URL":"https://onlinelibrary.wiley.com/doi/10.1111/j.1540-6210.2012.02653.x","volume":"72","author":[{"family":"Moynihan","given":"D. P."},{"family":"Hawes","given":"D. P."}],"accessed":{"date-parts":[["2025",4,5]]},"issued":{"date-parts":[["2012",11]]}},"suppress-author":true}],"schema":"https://github.com/citation-style-language/schema/raw/master/csl-citation.json"}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(2012)</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for example, concluded that information that threatens the reputation of agencies influences </w:t>
      </w:r>
      <w:r w:rsidR="000447EE" w:rsidRPr="00CC4E81">
        <w:rPr>
          <w:rFonts w:ascii="Times New Roman" w:eastAsia="Garamond" w:hAnsi="Times New Roman" w:cs="Times New Roman"/>
          <w:sz w:val="24"/>
          <w:szCs w:val="24"/>
          <w14:ligatures w14:val="standard"/>
        </w:rPr>
        <w:t xml:space="preserve">performance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{"citationID":"etjXLIF7","properties":{"formattedCitation":"(Bustos 2021; Etienne 2015; Lee 2022)","plainCitation":"(Bustos 2021; Etienne 2015; Lee 2022)","noteIndex":0},"citationItems":[{"id":1743,"uris":["http://zotero.org/users/3682065/items/FADQZWBF"],"itemData":{"id":1743,"type":"article-journal","abstract":"Abstract\n            \n              \n              \n                Despite the increasing number of publications on organizational reputation in the public administration throughout the last two decades, no systematic review has been conducted to synthesize the current state of the literature. This article contributes to this issue by bringing together empirical and theoretical academic research—119 articles and seven books—to analyze five critical aspects of this scholarship: conceptualization, types implemented, antecedents, outcomes, and multidimensionality. This work provides an overview of the field while identifying five critical areas for further research: reputational audiences, public leaders\n                ’\n                impact on reputation, development of typologies based on the characteristics of reputation, the use of standardized methods to conduct more cross‐country studies, and research on a wider variety of cultural and organizational contexts\n                .","container-title":"Public Administration Review","DOI":"10.1111/puar.13363","ISSN":"0033-3352, 1540-6210","issue":"4","journalAbbreviation":"Public Administration Review","language":"en","page":"731-751","source":"DOI.org (Crossref)","title":"Organizational Reputation in the Public Administration: A Systematic Literature Review","title-short":"Organizational Reputation in the Public Administration","volume":"81","author":[{"family":"Bustos","given":"Edgar O."}],"issued":{"date-parts":[["2021",7]]}}},{"id":1750,"uris":["http://zotero.org/users/3682065/items/YKF4T4CV"],"itemData":{"id":1750,"type":"article-journal","container-title":"Journal of Public Administration Research and Theory","DOI":"10.1093/jopart/muu018","ISSN":"1053-1858, 1477-9803","issue":"1","journalAbbreviation":"Journal of Public Administration Research and Theory","language":"en","page":"257-284","source":"DOI.org (Crossref)","title":"The Politics of Detection in Business Regulation","volume":"25","author":[{"family":"Etienne","given":"J."}],"issued":{"date-parts":[["2015",1,1]]}}},{"id":1767,"uris":["http://zotero.org/users/3682065/items/DTYUIVBU"],"itemData":{"id":1767,"type":"article-journal","abstract":"Abstract\n            Research on bureaucratic reputation has found that public organizations respond strategically to reputational threats. To understand better the way public organizations should communicate with their external audiences, upon which they depend for necessary resources and democratic legitimacy, this study examines the effectiveness of various communication strategies that agencies often use in response to a crisis. The results of a series of vignette experiments involving US adults show that an agency's communication strategy in response to crises does indeed influence citizens' reputation judgments. Specifically, compared with remaining silent, organizations that offer the public explanations of crises mitigate their reputational losses more effectively. Further, this study finds that people's prior reputation judgments and the nature of the crisis itself are important factors involved in the formation of reputation judgments, although these findings contradict communication theories. The implications for theory and practice are discussed.","container-title":"Public Administration Review","DOI":"10.1111/puar.13520","ISSN":"0033-3352, 1540-6210","issue":"6","journalAbbreviation":"Public Administration Review","language":"en","page":"1124-1137","source":"DOI.org (Crossref)","title":"Managing bureaucratic reputation in the face of crises: An experimental examination of the effect of strategic communication","title-short":"Managing bureaucratic reputation in the face of crises","volume":"82","author":[{"family":"Lee","given":"Danbee"}],"issued":{"date-parts":[["2022",11]]}}}],"schema":"https://github.com/citation-style-language/schema/raw/master/csl-citation.json"}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(Bustos 2021; Etienne 2015; Lee 2022)</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Here, as noted by Li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{"citationID":"zVitPFXP","properties":{"formattedCitation":"(2023)","plainCitation":"(2023)","noteIndex":0},"citationItems":[{"id":1747,"uris":["http://zotero.org/users/3682065/items/7CJM9QIP"],"itemData":{"id":1747,"type":"article-journal","abstract":"Abstract\n            Information disclosure has become a ubiquitous component of contemporary governance. This study examines how disclosure of information about the performance of regulated entities, which also implicates the performance of relevant government agencies, affects bureaucratic behaviors. In the context of the Clean Air Act (CAA)—the primary law that regulates air pollution in the United States—this study shows that regulators significantly increased CAA regulatory inspections on facilities that started to disclose relevant performance information to the public following the requirements of the Toxics Release Inventory (TRI), which is a major environmental information disclosure program in the United States. Additional analyses suggest the increase was because of the disclosure providing new information to regulators instead of mobilizing citizen actions. The findings suggest that performance information about regulated entities can alleviate information asymmetry between bureaucrats and regulated entities and increase the accountability of regulated entities as well as relevant government agencies.","container-title":"Public Administration Review","DOI":"10.1111/puar.13636","ISSN":"0033-3352, 1540-6210","issue":"4","journalAbbreviation":"Public Administration Review","language":"en","page":"750-762","source":"DOI.org (Crossref)","title":"Bureaucratic response to performance information: how mandatory information disclosure affects environmental inspections","title-short":"Bureaucratic response to performance information","volume":"83","author":[{"family":"Li","given":"Zhengyan"}],"issued":{"date-parts":[["2023",7]]}},"label":"page","suppress-author":true}],"schema":"https://github.com/citation-style-language/schema/raw/master/csl-citation.json"}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(2023)</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“when their reputation is at risk, government agencies tend to heighten their scrutiny of entities with poor reputations to distance themselves from criticized actors and shield against external backlash”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{"citationID":"5q1kQmaV","properties":{"formattedCitation":"(Hiatt and Park 2013; Maor and Sulitzeanu\\uc0\\u8208{}Kenan 2013)","plainCitation":"(Hiatt and Park 2013; Maor and Sulitzeanu‐Kenan 2013)","noteIndex":0},"citationItems":[{"id":1761,"uris":["http://zotero.org/users/3682065/items/XR688RXE"],"itemData":{"id":1761,"type":"article-journal","container-title":"Academy of Management Journal","DOI":"10.5465/amj.2011.0128","ISSN":"0001-4273, 1948-0989","issue":"4","journalAbbreviation":"AMJ","language":"en","page":"923-944","source":"DOI.org (Crossref)","title":"Lords of the Harvest: Third-Party Influence and Regulatory Approval of Genetically Modified Organisms","title-short":"Lords of the Harvest","volume":"56","author":[{"family":"Hiatt","given":"Shon R."},{"family":"Park","given":"Sangchan"}],"issued":{"date-parts":[["2013",8]]}}},{"id":1769,"uris":["http://zotero.org/users/3682065/items/UD4ITCXI"],"itemData":{"id":1769,"type":"article-journal","abstract":"Do reputational concerns affect the duration of enforcement decisions? We analyze “time to decision” in warning letter processes by two enforcement divisions within the Food and Drug Administration's (FDA) Center for Drug Evaluation and Research. We find that nearly all criticism of these divisions revolves around the FDA's primary consumer protection responsibilities (i.e., underenforcement), thus questioning the validity of the FDA's unique reputation. We also found that as media coverage of the FDA's consumer protection responsibilities becomes more positive, the agency takes enforcement decisions (warning letters) more slowly; in contrast, more critical media coverage leads to quicker action by the FDA. This effect is moderated by media salience; namely, it is found only for periods in which press coverage is relatively intense. An implication of this conditional relationship is an ability to assess the baseline role of reputation in the organization, namely, how concerned it is regarding its reputation in the absence of exogenous challenges.","container-title":"Governance","DOI":"10.1111/j.1468-0491.2012.01601.x","ISSN":"0952-1895, 1468-0491","issue":"1","journalAbbreviation":"Governance","language":"en","page":"31-61","source":"DOI.org (Crossref)","title":"The Effect of Salient Reputational Threats on the Pace of FDA Enforcement","volume":"26","author":[{"family":"Maor","given":"Moshe"},{"family":"Sulitzeanu‐Kenan","given":"Raanan"}],"issued":{"date-parts":[["2013",1]]}}}],"schema":"https://github.com/citation-style-language/schema/raw/master/csl-citation.json"}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(Hiatt and Park 2013; Maor and Sulitzeanu‐Kenan 2013)</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w:t>
      </w:r>
    </w:p>
    <w:p w14:paraId="48F655A2" w14:textId="22BDB6C6" w:rsidR="00500C0B" w:rsidRPr="00CC4E81" w:rsidRDefault="00ED02EB">
      <w:pPr>
        <w:spacing w:after="0" w:line="480" w:lineRule="auto"/>
        <w:ind w:right="-14" w:firstLine="706"/>
        <w:rPr>
          <w:rFonts w:ascii="Times New Roman" w:eastAsia="Times New Roman" w:hAnsi="Times New Roman" w:cs="Times New Roman"/>
          <w:sz w:val="24"/>
          <w:szCs w:val="24"/>
          <w14:ligatures w14:val="standard"/>
        </w:rPr>
      </w:pPr>
      <w:r w:rsidRPr="00CC4E81">
        <w:rPr>
          <w:rFonts w:ascii="Times New Roman" w:eastAsia="Garamond" w:hAnsi="Times New Roman" w:cs="Times New Roman"/>
          <w:sz w:val="24"/>
          <w:szCs w:val="24"/>
          <w14:ligatures w14:val="standard"/>
        </w:rPr>
        <w:t>Following the logic above we offer the following hypotheses</w:t>
      </w:r>
      <w:r w:rsidR="001025DC" w:rsidRPr="00CC4E81">
        <w:rPr>
          <w:rFonts w:ascii="Times New Roman" w:eastAsia="Garamond" w:hAnsi="Times New Roman" w:cs="Times New Roman"/>
          <w:sz w:val="24"/>
          <w:szCs w:val="24"/>
          <w14:ligatures w14:val="standard"/>
        </w:rPr>
        <w:t xml:space="preserve"> and exp</w:t>
      </w:r>
      <w:r w:rsidR="00054263" w:rsidRPr="00CC4E81">
        <w:rPr>
          <w:rFonts w:ascii="Times New Roman" w:eastAsia="Garamond" w:hAnsi="Times New Roman" w:cs="Times New Roman"/>
          <w:sz w:val="24"/>
          <w:szCs w:val="24"/>
          <w14:ligatures w14:val="standard"/>
        </w:rPr>
        <w:t>ectations</w:t>
      </w:r>
      <w:r w:rsidRPr="00CC4E81">
        <w:rPr>
          <w:rFonts w:ascii="Times New Roman" w:eastAsia="Garamond" w:hAnsi="Times New Roman" w:cs="Times New Roman"/>
          <w:sz w:val="24"/>
          <w:szCs w:val="24"/>
          <w14:ligatures w14:val="standard"/>
        </w:rPr>
        <w:t>:</w:t>
      </w:r>
    </w:p>
    <w:p w14:paraId="2D3FF135" w14:textId="52B3173E" w:rsidR="00500C0B" w:rsidRPr="00CC4E81" w:rsidRDefault="00ED02EB">
      <w:pPr>
        <w:spacing w:after="0" w:line="480" w:lineRule="auto"/>
        <w:ind w:left="-14" w:right="-14"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H</w:t>
      </w:r>
      <w:r w:rsidR="00AB1977" w:rsidRPr="00CC4E81">
        <w:rPr>
          <w:rFonts w:ascii="Times New Roman" w:eastAsia="Garamond" w:hAnsi="Times New Roman" w:cs="Times New Roman"/>
          <w:b/>
          <w:bCs/>
          <w:sz w:val="24"/>
          <w:szCs w:val="24"/>
          <w14:ligatures w14:val="standard"/>
        </w:rPr>
        <w:t xml:space="preserve">ypothesis </w:t>
      </w:r>
      <w:r w:rsidRPr="00CC4E81">
        <w:rPr>
          <w:rFonts w:ascii="Times New Roman" w:eastAsia="Garamond" w:hAnsi="Times New Roman" w:cs="Times New Roman"/>
          <w:b/>
          <w:bCs/>
          <w:sz w:val="24"/>
          <w:szCs w:val="24"/>
          <w14:ligatures w14:val="standard"/>
        </w:rPr>
        <w:t>1a:</w:t>
      </w:r>
      <w:r w:rsidRPr="00CC4E81">
        <w:rPr>
          <w:rFonts w:ascii="Times New Roman" w:eastAsia="Garamond" w:hAnsi="Times New Roman" w:cs="Times New Roman"/>
          <w:sz w:val="24"/>
          <w:szCs w:val="24"/>
          <w14:ligatures w14:val="standard"/>
        </w:rPr>
        <w:t xml:space="preserve"> The enactment of the RRC’s 2019 information disclosure policy will be associated with an increase in oil and gas well inspections.</w:t>
      </w:r>
    </w:p>
    <w:p w14:paraId="0915516E" w14:textId="4D5A300C" w:rsidR="00500C0B" w:rsidRPr="00CC4E81" w:rsidRDefault="00ED02EB">
      <w:pPr>
        <w:spacing w:after="0" w:line="480" w:lineRule="auto"/>
        <w:ind w:left="-14" w:right="-14"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H</w:t>
      </w:r>
      <w:r w:rsidR="00AB1977" w:rsidRPr="00CC4E81">
        <w:rPr>
          <w:rFonts w:ascii="Times New Roman" w:eastAsia="Garamond" w:hAnsi="Times New Roman" w:cs="Times New Roman"/>
          <w:b/>
          <w:bCs/>
          <w:sz w:val="24"/>
          <w:szCs w:val="24"/>
          <w14:ligatures w14:val="standard"/>
        </w:rPr>
        <w:t xml:space="preserve">ypothesis </w:t>
      </w:r>
      <w:r w:rsidRPr="00CC4E81">
        <w:rPr>
          <w:rFonts w:ascii="Times New Roman" w:eastAsia="Garamond" w:hAnsi="Times New Roman" w:cs="Times New Roman"/>
          <w:b/>
          <w:bCs/>
          <w:sz w:val="24"/>
          <w:szCs w:val="24"/>
          <w14:ligatures w14:val="standard"/>
        </w:rPr>
        <w:t>1b:</w:t>
      </w:r>
      <w:r w:rsidRPr="00CC4E81">
        <w:rPr>
          <w:rFonts w:ascii="Times New Roman" w:eastAsia="Garamond" w:hAnsi="Times New Roman" w:cs="Times New Roman"/>
          <w:sz w:val="24"/>
          <w:szCs w:val="24"/>
          <w14:ligatures w14:val="standard"/>
        </w:rPr>
        <w:t xml:space="preserve"> The enactment of the RRC’s 2019 information disclosure policy will be associated with an increase in the identification of oil and gas violations.</w:t>
      </w:r>
    </w:p>
    <w:p w14:paraId="11E18DE7" w14:textId="2B7BB4E4" w:rsidR="00500C0B" w:rsidRPr="00CC4E81" w:rsidRDefault="00ED02EB">
      <w:pPr>
        <w:spacing w:after="0" w:line="480" w:lineRule="auto"/>
        <w:ind w:left="-14" w:right="-14"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H</w:t>
      </w:r>
      <w:r w:rsidR="00AB1977" w:rsidRPr="00CC4E81">
        <w:rPr>
          <w:rFonts w:ascii="Times New Roman" w:eastAsia="Garamond" w:hAnsi="Times New Roman" w:cs="Times New Roman"/>
          <w:b/>
          <w:bCs/>
          <w:sz w:val="24"/>
          <w:szCs w:val="24"/>
          <w14:ligatures w14:val="standard"/>
        </w:rPr>
        <w:t xml:space="preserve">ypothesis </w:t>
      </w:r>
      <w:r w:rsidRPr="00CC4E81">
        <w:rPr>
          <w:rFonts w:ascii="Times New Roman" w:eastAsia="Garamond" w:hAnsi="Times New Roman" w:cs="Times New Roman"/>
          <w:b/>
          <w:bCs/>
          <w:sz w:val="24"/>
          <w:szCs w:val="24"/>
          <w14:ligatures w14:val="standard"/>
        </w:rPr>
        <w:t>2:</w:t>
      </w:r>
      <w:r w:rsidRPr="00CC4E81">
        <w:rPr>
          <w:rFonts w:ascii="Times New Roman" w:eastAsia="Garamond" w:hAnsi="Times New Roman" w:cs="Times New Roman"/>
          <w:sz w:val="24"/>
          <w:szCs w:val="24"/>
          <w14:ligatures w14:val="standard"/>
        </w:rPr>
        <w:t xml:space="preserve"> The enactment of the 2019 information disclosure policy will be associated with </w:t>
      </w:r>
      <w:r w:rsidR="000447EE" w:rsidRPr="00CC4E81">
        <w:rPr>
          <w:rFonts w:ascii="Times New Roman" w:eastAsia="Garamond" w:hAnsi="Times New Roman" w:cs="Times New Roman"/>
          <w:sz w:val="24"/>
          <w:szCs w:val="24"/>
          <w14:ligatures w14:val="standard"/>
        </w:rPr>
        <w:t xml:space="preserve">an </w:t>
      </w:r>
      <w:r w:rsidRPr="00CC4E81">
        <w:rPr>
          <w:rFonts w:ascii="Times New Roman" w:eastAsia="Garamond" w:hAnsi="Times New Roman" w:cs="Times New Roman"/>
          <w:sz w:val="24"/>
          <w:szCs w:val="24"/>
          <w14:ligatures w14:val="standard"/>
        </w:rPr>
        <w:t>increase</w:t>
      </w:r>
      <w:r w:rsidR="000447EE" w:rsidRPr="00CC4E81">
        <w:rPr>
          <w:rFonts w:ascii="Times New Roman" w:eastAsia="Garamond" w:hAnsi="Times New Roman" w:cs="Times New Roman"/>
          <w:sz w:val="24"/>
          <w:szCs w:val="24"/>
          <w14:ligatures w14:val="standard"/>
        </w:rPr>
        <w:t xml:space="preserve"> in</w:t>
      </w:r>
      <w:r w:rsidRPr="00CC4E81">
        <w:rPr>
          <w:rFonts w:ascii="Times New Roman" w:eastAsia="Garamond" w:hAnsi="Times New Roman" w:cs="Times New Roman"/>
          <w:sz w:val="24"/>
          <w:szCs w:val="24"/>
          <w14:ligatures w14:val="standard"/>
        </w:rPr>
        <w:t xml:space="preserve"> administrative actions. </w:t>
      </w:r>
    </w:p>
    <w:p w14:paraId="150D9F74" w14:textId="732CFABA" w:rsidR="00500C0B" w:rsidRPr="00CC4E81" w:rsidRDefault="003769A5" w:rsidP="003769A5">
      <w:pPr>
        <w:spacing w:after="0" w:line="480" w:lineRule="auto"/>
        <w:ind w:right="-14"/>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lastRenderedPageBreak/>
        <w:t>We should note that we anticipate that a</w:t>
      </w:r>
      <w:r w:rsidR="00ED02EB" w:rsidRPr="00CC4E81">
        <w:rPr>
          <w:rFonts w:ascii="Times New Roman" w:eastAsia="Garamond" w:hAnsi="Times New Roman" w:cs="Times New Roman"/>
          <w:sz w:val="24"/>
          <w:szCs w:val="24"/>
          <w14:ligatures w14:val="standard"/>
        </w:rPr>
        <w:t>dministrative actions</w:t>
      </w:r>
      <w:r w:rsidR="000447EE" w:rsidRPr="00CC4E81">
        <w:rPr>
          <w:rFonts w:ascii="Times New Roman" w:eastAsia="Garamond" w:hAnsi="Times New Roman" w:cs="Times New Roman"/>
          <w:sz w:val="24"/>
          <w:szCs w:val="24"/>
          <w14:ligatures w14:val="standard"/>
        </w:rPr>
        <w:t>, i.e., actions taken following the identification of a violation</w:t>
      </w:r>
      <w:r w:rsidR="00437077" w:rsidRPr="00CC4E81">
        <w:rPr>
          <w:rFonts w:ascii="Times New Roman" w:eastAsia="Garamond" w:hAnsi="Times New Roman" w:cs="Times New Roman"/>
          <w:sz w:val="24"/>
          <w:szCs w:val="24"/>
          <w14:ligatures w14:val="standard"/>
        </w:rPr>
        <w:t xml:space="preserve">, </w:t>
      </w:r>
      <w:r w:rsidR="00ED02EB" w:rsidRPr="00CC4E81">
        <w:rPr>
          <w:rFonts w:ascii="Times New Roman" w:eastAsia="Garamond" w:hAnsi="Times New Roman" w:cs="Times New Roman"/>
          <w:sz w:val="24"/>
          <w:szCs w:val="24"/>
          <w14:ligatures w14:val="standard"/>
        </w:rPr>
        <w:t>will not be uniform</w:t>
      </w:r>
      <w:r w:rsidR="00437077" w:rsidRPr="00CC4E81">
        <w:rPr>
          <w:rFonts w:ascii="Times New Roman" w:eastAsia="Garamond" w:hAnsi="Times New Roman" w:cs="Times New Roman"/>
          <w:sz w:val="24"/>
          <w:szCs w:val="24"/>
          <w14:ligatures w14:val="standard"/>
        </w:rPr>
        <w:t xml:space="preserve"> across action type (</w:t>
      </w:r>
      <w:r w:rsidR="003B1AF8" w:rsidRPr="00CC4E81">
        <w:rPr>
          <w:rFonts w:ascii="Times New Roman" w:eastAsia="Garamond" w:hAnsi="Times New Roman" w:cs="Times New Roman"/>
          <w:sz w:val="24"/>
          <w:szCs w:val="24"/>
          <w14:ligatures w14:val="standard"/>
        </w:rPr>
        <w:t xml:space="preserve">i.e., </w:t>
      </w:r>
      <w:r w:rsidR="00437077" w:rsidRPr="00CC4E81">
        <w:rPr>
          <w:rFonts w:ascii="Times New Roman" w:eastAsia="Garamond" w:hAnsi="Times New Roman" w:cs="Times New Roman"/>
          <w:sz w:val="24"/>
          <w:szCs w:val="24"/>
          <w14:ligatures w14:val="standard"/>
        </w:rPr>
        <w:t>notification of violation, referral to Austin, etc.)</w:t>
      </w:r>
      <w:r w:rsidR="00ED02EB" w:rsidRPr="00CC4E81">
        <w:rPr>
          <w:rFonts w:ascii="Times New Roman" w:eastAsia="Garamond" w:hAnsi="Times New Roman" w:cs="Times New Roman"/>
          <w:sz w:val="24"/>
          <w:szCs w:val="24"/>
          <w14:ligatures w14:val="standard"/>
        </w:rPr>
        <w:t>.</w:t>
      </w:r>
    </w:p>
    <w:p w14:paraId="46AAD206" w14:textId="77777777" w:rsidR="00500C0B" w:rsidRPr="00CC4E81" w:rsidRDefault="00ED02EB">
      <w:pPr>
        <w:spacing w:after="0" w:line="480" w:lineRule="auto"/>
        <w:rPr>
          <w:rFonts w:ascii="Times New Roman" w:eastAsia="Garamond" w:hAnsi="Times New Roman" w:cs="Times New Roman"/>
          <w:sz w:val="24"/>
          <w:szCs w:val="24"/>
          <w14:ligatures w14:val="standard"/>
        </w:rPr>
      </w:pPr>
      <w:r w:rsidRPr="00CC4E81">
        <w:rPr>
          <w:rFonts w:ascii="Times New Roman" w:eastAsia="Garamond" w:hAnsi="Times New Roman" w:cs="Times New Roman"/>
          <w:i/>
          <w:iCs/>
          <w:sz w:val="24"/>
          <w:szCs w:val="24"/>
          <w14:ligatures w14:val="standard"/>
        </w:rPr>
        <w:t>Disclosure and State Oil and Gas Policies</w:t>
      </w:r>
    </w:p>
    <w:p w14:paraId="22480274" w14:textId="11E96412" w:rsidR="00500C0B" w:rsidRPr="00CC4E81" w:rsidRDefault="00ED02EB">
      <w:pPr>
        <w:spacing w:after="0" w:line="480" w:lineRule="auto"/>
        <w:ind w:firstLine="720"/>
        <w:rPr>
          <w:rFonts w:ascii="Times New Roman" w:hAnsi="Times New Roman" w:cs="Times New Roman"/>
          <w:sz w:val="24"/>
          <w:szCs w:val="24"/>
        </w:rPr>
      </w:pPr>
      <w:r w:rsidRPr="00CC4E81">
        <w:rPr>
          <w:rFonts w:ascii="Times New Roman" w:hAnsi="Times New Roman" w:cs="Times New Roman"/>
          <w:sz w:val="24"/>
          <w:szCs w:val="24"/>
        </w:rPr>
        <w:t>A subset of the</w:t>
      </w:r>
      <w:r w:rsidR="003769A5" w:rsidRPr="00CC4E81">
        <w:rPr>
          <w:rFonts w:ascii="Times New Roman" w:hAnsi="Times New Roman" w:cs="Times New Roman"/>
          <w:sz w:val="24"/>
          <w:szCs w:val="24"/>
        </w:rPr>
        <w:t xml:space="preserve"> disclosure</w:t>
      </w:r>
      <w:r w:rsidRPr="00CC4E81">
        <w:rPr>
          <w:rFonts w:ascii="Times New Roman" w:hAnsi="Times New Roman" w:cs="Times New Roman"/>
          <w:sz w:val="24"/>
          <w:szCs w:val="24"/>
        </w:rPr>
        <w:t xml:space="preserve"> literature examines oil and gas </w:t>
      </w:r>
      <w:r w:rsidR="002B2D85" w:rsidRPr="00CC4E81">
        <w:rPr>
          <w:rFonts w:ascii="Times New Roman" w:hAnsi="Times New Roman" w:cs="Times New Roman"/>
          <w:sz w:val="24"/>
          <w:szCs w:val="24"/>
        </w:rPr>
        <w:t>policies</w:t>
      </w:r>
      <w:r w:rsidRPr="00CC4E81">
        <w:rPr>
          <w:rFonts w:ascii="Times New Roman" w:hAnsi="Times New Roman" w:cs="Times New Roman"/>
          <w:sz w:val="24"/>
          <w:szCs w:val="24"/>
        </w:rPr>
        <w:t xml:space="preserve">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{"citationID":"yu2GJlgi","properties":{"formattedCitation":"(Fisk 2013; Rabe and Borick 2013; Fisk and Good 2019; Weible, Heikkila, and Carter 2017)","plainCitation":"(Fisk 2013; Rabe and Borick 2013; Fisk and Good 2019; Weible, Heikkila, and Carter 2017)","noteIndex":0},"citationItems":[{"id":1741,"uris":["http://zotero.org/users/3682065/items/5FZ8N8SN"],"itemData":{"id":1741,"type":"article-journal","abstract":"U.S. energy firms are increasingly expanding their production of natural gas oftentimes by relying on a controversial extraction technique known as hydraulic fracturing. While proponents cite a litany of benefits including economic development and reduced carbon emissions, opponents articulate concerns typically centering on environmental quality. Caught between these opposing points of view, states are turning to disclosure requirements. Yet all disclosure statutes are not created equally. In order to better understand this variation, I utilize Abel, Stephan, and Kraft's (ASK) 2007 performance model, which evaluates the effectiveness of information‐based disclosure rules for industry. The model here, however, is applied in an attempt to understand why disclosure regulations emerge and vary across states. Results generally validate the ASK approach but with one caveat. I find that in the context of differing disclosure regulations, the ASK model's pollution severity/risk measure may be refined by including risk perception.","container-title":"Review of Policy Research","DOI":"10.1111/ropr.12025","ISSN":"1541-132X, 1541-1338","issue":"4","journalAbbreviation":"Review of Policy Research","language":"English","page":"345-365","source":"DOI.org (Crossref)","title":"The Right to Know? State Politics of Fracking Disclosure","title-short":"The Right to Know?","volume":"30","author":[{"family":"Fisk","given":"Jonathan M."}],"issued":{"date-parts":[["2013",7]]}}},{"id":1779,"uris":["http://zotero.org/users/3682065/items/CJ67Z2I8"],"itemData":{"id":1779,"type":"article-journal","abstract":"Abstract\n            \n              The emergence of hydraulic fracturing techniques is generating a dramatic expansion of the development of domestic natural gas resources in the\n              U\n              nited\n              S\n              tates and abroad. Fracking also poses a series of environmental protection challenges that cut across traditional medium and program boundaries. Formal constraints on federal government engagement thus far devolve considerable latitude to individual states for policy development. This provides an important test of whether recent scholarly emphasis on highly innovative state environmental and energy policies can be extended to this burgeoning area.\n              P\n              ennsylvania has moved to the epicenter of the fracking revolution, reflecting its vast Marcellus Shale resource and far‐reaching 2012 legislation. This article examines the\n              P\n              ennsylvania case and notes that the state's emerging policy appears designed to maximize resource extraction while downplaying environmental considerations. The case analysis generates questions as to whether this experience constitutes an influential state early mover that is likely to diffuse widely or is instead an aberration in a rapidly diversifying state policy development process.","container-title":"Review of Policy Research","DOI":"10.1111/ropr.12018","ISSN":"1541-132X, 1541-1338","issue":"3","journalAbbreviation":"Review of Policy Research","language":"en","page":"321-340","source":"DOI.org (Crossref)","title":"Conventional Politics for Unconventional Drilling? Lessons from Pennsylvania's Early Move into Fracking Policy Development","title-short":"Conventional Politics for Unconventional Drilling?","volume":"30","author":[{"family":"Rabe","given":"Barry G."},{"family":"Borick","given":"Christopher"}],"issued":{"date-parts":[["2013",5]]}}},{"id":1740,"uris":["http://zotero.org/users/3682065/items/6GRRL2BG"],"itemData":{"id":1740,"type":"article-journal","container-title":"Energy Policy","DOI":"10.1016/j.enpol.2018.12.032","ISSN":"03014215","journalAbbreviation":"Energy Policy","language":"English","page":"374-381","source":"DOI.org (Crossref)","title":"Information booms and busts: Examining oil and gas disclosure policies across the states","title-short":"Information booms and busts","volume":"127","author":[{"family":"Fisk","given":"Jonathan M."},{"family":"Good","given":"A.J."}],"issued":{"date-parts":[["2019",4]]}}},{"id":1775,"uris":["http://zotero.org/users/3682065/items/9LSR666N"],"itemData":{"id":1775,"type":"article-journal","container-title":"Journal of Environmental Policy &amp; Planning","DOI":"10.1080/1523908X.2016.1150776","ISSN":"1523-908X, 1522-7200","issue":"2","journalAbbreviation":"Journal of Environmental Policy &amp; Planning","language":"en","page":"115-134","source":"DOI.org (Crossref)","title":"An Institutional and Opinion Analysis of Colorado’s Hydraulic Fracturing Disclosure Policy","volume":"19","author":[{"family":"Weible","given":"Christopher M."},{"family":"Heikkila","given":"Tanya"},{"family":"Carter","given":"David P."}],"issued":{"date-parts":[["2017",3,4]]}}}],"schema":"https://github.com/citation-style-language/schema/raw/master/csl-citation.json"}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(Fisk 2013; Rabe and Borick 2013; Fisk and Good 2019; Weible, Heikkila, and Carter 2017)</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rPr>
        <w:t xml:space="preserve">. Heikkila et al.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{"citationID":"u0NHtV5X","properties":{"formattedCitation":"(2014)","plainCitation":"(2014)","noteIndex":0},"citationItems":[{"id":1756,"uris":["http://zotero.org/users/3682065/items/GBZM364W"],"itemData":{"id":1756,"type":"article-journal","abstract":"Abstract\n            This paper investigates the beliefs and framing strategies of interest groups during a period of policy change and the factors explaining policy change. We develop propositions to explore questions concerning policy change primarily from the advocacy coalition framework as well as from other theorie. The propositions are tested by examining the promulgation of a Colorado regulation requiring the disclosure of chemicals used in hydraulic fracturing. Using coded data of documents published by organizations involved in the rulemaking process, we find divergence between industry and environmental groups on their beliefs concerning hydraulic fracturing, as well as their portraying themselves and each other as heroes, victims, and villains, but some convergence on their more specific beliefs concerning disclosure of chemicals. Interviews point to the importance of policy entrepreneurs, timing, a negotiated agreement, and learning for explaining policy change. The findings provide both theoretical and methodological insights into how and why policy changes.","container-title":"Review of Policy Research","DOI":"10.1111/ropr.12058","ISSN":"1541-132X, 1541-1338","issue":"2","journalAbbreviation":"Review of Policy Research","language":"en","page":"65-87","source":"DOI.org (Crossref)","title":"Understanding a Period of Policy Change: The Case of Hydraulic Fracturing Disclosure Policy in Colorado","title-short":"Understanding a Period of Policy Change","volume":"31","author":[{"family":"Heikkila","given":"Tanya"},{"family":"Pierce","given":"Jonathan J."},{"family":"Gallaher","given":"Samuel"},{"family":"Kagan","given":"Jennifer"},{"family":"Crow","given":"Deserai A."},{"family":"Weible","given":"Christopher M."}],"issued":{"date-parts":[["2014",3]]}},"label":"page","suppress-author":true}],"schema":"https://github.com/citation-style-language/schema/raw/master/csl-citation.json"}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(2014)</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rPr>
        <w:t xml:space="preserve"> in found that the adoption of </w:t>
      </w:r>
      <w:r w:rsidR="002B2D85" w:rsidRPr="00CC4E81">
        <w:rPr>
          <w:rFonts w:ascii="Times New Roman" w:hAnsi="Times New Roman" w:cs="Times New Roman"/>
          <w:sz w:val="24"/>
          <w:szCs w:val="24"/>
        </w:rPr>
        <w:t xml:space="preserve">more rigorous public </w:t>
      </w:r>
      <w:r w:rsidRPr="00CC4E81">
        <w:rPr>
          <w:rFonts w:ascii="Times New Roman" w:hAnsi="Times New Roman" w:cs="Times New Roman"/>
          <w:sz w:val="24"/>
          <w:szCs w:val="24"/>
        </w:rPr>
        <w:t xml:space="preserve">disclosure </w:t>
      </w:r>
      <w:r w:rsidR="003769A5" w:rsidRPr="00CC4E81">
        <w:rPr>
          <w:rFonts w:ascii="Times New Roman" w:hAnsi="Times New Roman" w:cs="Times New Roman"/>
          <w:sz w:val="24"/>
          <w:szCs w:val="24"/>
        </w:rPr>
        <w:t xml:space="preserve">(of the chemicals used in the fracturing process) </w:t>
      </w:r>
      <w:r w:rsidRPr="00CC4E81">
        <w:rPr>
          <w:rFonts w:ascii="Times New Roman" w:hAnsi="Times New Roman" w:cs="Times New Roman"/>
          <w:sz w:val="24"/>
          <w:szCs w:val="24"/>
        </w:rPr>
        <w:t xml:space="preserve">policies was linked to political/policy related learning by the industry as well as the presence of a policy entrepreneur. A year prior, Fisk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{"citationID":"Kd88yoEA","properties":{"formattedCitation":"(2013)","plainCitation":"(2013)","noteIndex":0},"citationItems":[{"id":1741,"uris":["http://zotero.org/users/3682065/items/5FZ8N8SN"],"itemData":{"id":1741,"type":"article-journal","abstract":"U.S. energy firms are increasingly expanding their production of natural gas oftentimes by relying on a controversial extraction technique known as hydraulic fracturing. While proponents cite a litany of benefits including economic development and reduced carbon emissions, opponents articulate concerns typically centering on environmental quality. Caught between these opposing points of view, states are turning to disclosure requirements. Yet all disclosure statutes are not created equally. In order to better understand this variation, I utilize Abel, Stephan, and Kraft's (ASK) 2007 performance model, which evaluates the effectiveness of information‐based disclosure rules for industry. The model here, however, is applied in an attempt to understand why disclosure regulations emerge and vary across states. Results generally validate the ASK approach but with one caveat. I find that in the context of differing disclosure regulations, the ASK model's pollution severity/risk measure may be refined by including risk perception.","container-title":"Review of Policy Research","DOI":"10.1111/ropr.12025","ISSN":"1541-132X, 1541-1338","issue":"4","journalAbbreviation":"Review of Policy Research","language":"English","page":"345-365","source":"DOI.org (Crossref)","title":"The Right to Know? State Politics of Fracking Disclosure","title-short":"The Right to Know?","volume":"30","author":[{"family":"Fisk","given":"Jonathan M."}],"issued":{"date-parts":[["2013",7]]}},"suppress-author":true}],"schema":"https://github.com/citation-style-language/schema/raw/master/csl-citation.json"}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(2013)</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rPr>
        <w:t xml:space="preserve"> observed an association among state political characteristics and the willingness to enact more demanding disclosure laws. In short, more liberal states were associated with stronger disclosure policies. </w:t>
      </w:r>
      <w:r w:rsidR="002B2D85" w:rsidRPr="00CC4E81">
        <w:rPr>
          <w:rFonts w:ascii="Times New Roman" w:hAnsi="Times New Roman" w:cs="Times New Roman"/>
          <w:sz w:val="24"/>
          <w:szCs w:val="24"/>
        </w:rPr>
        <w:t xml:space="preserve">Similarly, </w:t>
      </w:r>
      <w:r w:rsidRPr="00CC4E81">
        <w:rPr>
          <w:rFonts w:ascii="Times New Roman" w:hAnsi="Times New Roman" w:cs="Times New Roman"/>
          <w:sz w:val="24"/>
          <w:szCs w:val="24"/>
        </w:rPr>
        <w:t xml:space="preserve">Fisk and Good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{"citationID":"oEn72y7Q","properties":{"formattedCitation":"(2019)","plainCitation":"(2019)","noteIndex":0},"citationItems":[{"id":1740,"uris":["http://zotero.org/users/3682065/items/6GRRL2BG"],"itemData":{"id":1740,"type":"article-journal","container-title":"Energy Policy","DOI":"10.1016/j.enpol.2018.12.032","ISSN":"03014215","journalAbbreviation":"Energy Policy","language":"English","page":"374-381","source":"DOI.org (Crossref)","title":"Information booms and busts: Examining oil and gas disclosure policies across the states","title-short":"Information booms and busts","volume":"127","author":[{"family":"Fisk","given":"Jonathan M."},{"family":"Good","given":"A.J."}],"issued":{"date-parts":[["2019",4]]}},"suppress-author":true}],"schema":"https://github.com/citation-style-language/schema/raw/master/csl-citation.json"}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(2019)</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rPr>
        <w:t xml:space="preserve"> evaluated </w:t>
      </w:r>
      <w:r w:rsidR="002B2D85" w:rsidRPr="00CC4E81">
        <w:rPr>
          <w:rFonts w:ascii="Times New Roman" w:hAnsi="Times New Roman" w:cs="Times New Roman"/>
          <w:sz w:val="24"/>
          <w:szCs w:val="24"/>
        </w:rPr>
        <w:t xml:space="preserve">state-level </w:t>
      </w:r>
      <w:r w:rsidRPr="00CC4E81">
        <w:rPr>
          <w:rFonts w:ascii="Times New Roman" w:hAnsi="Times New Roman" w:cs="Times New Roman"/>
          <w:sz w:val="24"/>
          <w:szCs w:val="24"/>
        </w:rPr>
        <w:t>factors related to</w:t>
      </w:r>
      <w:r w:rsidR="002B2D85" w:rsidRPr="00CC4E81">
        <w:rPr>
          <w:rFonts w:ascii="Times New Roman" w:hAnsi="Times New Roman" w:cs="Times New Roman"/>
          <w:sz w:val="24"/>
          <w:szCs w:val="24"/>
        </w:rPr>
        <w:t xml:space="preserve"> the promulgation of policies governing</w:t>
      </w:r>
      <w:r w:rsidRPr="00CC4E81">
        <w:rPr>
          <w:rFonts w:ascii="Times New Roman" w:hAnsi="Times New Roman" w:cs="Times New Roman"/>
          <w:sz w:val="24"/>
          <w:szCs w:val="24"/>
        </w:rPr>
        <w:t xml:space="preserve"> pre-drilling disclosure notification to citizens, the scope of chemical disclosure to applicable state agencies, and the allowance of industry trade secrets. They note</w:t>
      </w:r>
      <w:r w:rsidR="002B2D85" w:rsidRPr="00CC4E81">
        <w:rPr>
          <w:rFonts w:ascii="Times New Roman" w:hAnsi="Times New Roman" w:cs="Times New Roman"/>
          <w:sz w:val="24"/>
          <w:szCs w:val="24"/>
        </w:rPr>
        <w:t xml:space="preserve">d </w:t>
      </w:r>
      <w:r w:rsidR="003769A5" w:rsidRPr="00CC4E81">
        <w:rPr>
          <w:rFonts w:ascii="Times New Roman" w:hAnsi="Times New Roman" w:cs="Times New Roman"/>
          <w:sz w:val="24"/>
          <w:szCs w:val="24"/>
        </w:rPr>
        <w:t>that</w:t>
      </w:r>
      <w:r w:rsidR="002B2D85" w:rsidRPr="00CC4E81">
        <w:rPr>
          <w:rFonts w:ascii="Times New Roman" w:hAnsi="Times New Roman" w:cs="Times New Roman"/>
          <w:sz w:val="24"/>
          <w:szCs w:val="24"/>
        </w:rPr>
        <w:t xml:space="preserve"> </w:t>
      </w:r>
      <w:r w:rsidR="003769A5" w:rsidRPr="00CC4E81">
        <w:rPr>
          <w:rFonts w:ascii="Times New Roman" w:hAnsi="Times New Roman" w:cs="Times New Roman"/>
          <w:sz w:val="24"/>
          <w:szCs w:val="24"/>
        </w:rPr>
        <w:t>p</w:t>
      </w:r>
      <w:r w:rsidRPr="00CC4E81">
        <w:rPr>
          <w:rFonts w:ascii="Times New Roman" w:hAnsi="Times New Roman" w:cs="Times New Roman"/>
          <w:sz w:val="24"/>
          <w:szCs w:val="24"/>
        </w:rPr>
        <w:t>re-drilling notification policies</w:t>
      </w:r>
      <w:r w:rsidR="003769A5" w:rsidRPr="00CC4E81">
        <w:rPr>
          <w:rFonts w:ascii="Times New Roman" w:hAnsi="Times New Roman" w:cs="Times New Roman"/>
          <w:sz w:val="24"/>
          <w:szCs w:val="24"/>
        </w:rPr>
        <w:t xml:space="preserve"> </w:t>
      </w:r>
      <w:r w:rsidR="002B2D85" w:rsidRPr="00CC4E81">
        <w:rPr>
          <w:rFonts w:ascii="Times New Roman" w:hAnsi="Times New Roman" w:cs="Times New Roman"/>
          <w:sz w:val="24"/>
          <w:szCs w:val="24"/>
        </w:rPr>
        <w:t>were</w:t>
      </w:r>
      <w:r w:rsidRPr="00CC4E81">
        <w:rPr>
          <w:rFonts w:ascii="Times New Roman" w:hAnsi="Times New Roman" w:cs="Times New Roman"/>
          <w:sz w:val="24"/>
          <w:szCs w:val="24"/>
        </w:rPr>
        <w:t xml:space="preserve"> associated with state-levels socio-economic characteristics (education and state GDP) whereas chemical disclosure </w:t>
      </w:r>
      <w:r w:rsidR="002B2D85" w:rsidRPr="00CC4E81">
        <w:rPr>
          <w:rFonts w:ascii="Times New Roman" w:hAnsi="Times New Roman" w:cs="Times New Roman"/>
          <w:sz w:val="24"/>
          <w:szCs w:val="24"/>
        </w:rPr>
        <w:t xml:space="preserve">policies were linked to </w:t>
      </w:r>
      <w:r w:rsidRPr="00CC4E81">
        <w:rPr>
          <w:rFonts w:ascii="Times New Roman" w:hAnsi="Times New Roman" w:cs="Times New Roman"/>
          <w:sz w:val="24"/>
          <w:szCs w:val="24"/>
        </w:rPr>
        <w:t xml:space="preserve">variables approximating industry’s </w:t>
      </w:r>
      <w:r w:rsidR="003769A5" w:rsidRPr="00CC4E81">
        <w:rPr>
          <w:rFonts w:ascii="Times New Roman" w:hAnsi="Times New Roman" w:cs="Times New Roman"/>
          <w:sz w:val="24"/>
          <w:szCs w:val="24"/>
        </w:rPr>
        <w:t xml:space="preserve">economic </w:t>
      </w:r>
      <w:r w:rsidRPr="00CC4E81">
        <w:rPr>
          <w:rFonts w:ascii="Times New Roman" w:hAnsi="Times New Roman" w:cs="Times New Roman"/>
          <w:sz w:val="24"/>
          <w:szCs w:val="24"/>
        </w:rPr>
        <w:t>footprint within the state. They did not find any significa</w:t>
      </w:r>
      <w:r w:rsidR="002B2D85" w:rsidRPr="00CC4E81">
        <w:rPr>
          <w:rFonts w:ascii="Times New Roman" w:hAnsi="Times New Roman" w:cs="Times New Roman"/>
          <w:sz w:val="24"/>
          <w:szCs w:val="24"/>
        </w:rPr>
        <w:t>nt relationships</w:t>
      </w:r>
      <w:r w:rsidR="003769A5" w:rsidRPr="00CC4E81">
        <w:rPr>
          <w:rFonts w:ascii="Times New Roman" w:hAnsi="Times New Roman" w:cs="Times New Roman"/>
          <w:sz w:val="24"/>
          <w:szCs w:val="24"/>
        </w:rPr>
        <w:t xml:space="preserve"> for</w:t>
      </w:r>
      <w:r w:rsidR="002B2D85" w:rsidRPr="00CC4E81">
        <w:rPr>
          <w:rFonts w:ascii="Times New Roman" w:hAnsi="Times New Roman" w:cs="Times New Roman"/>
          <w:sz w:val="24"/>
          <w:szCs w:val="24"/>
        </w:rPr>
        <w:t xml:space="preserve"> policies governing the </w:t>
      </w:r>
      <w:r w:rsidR="003769A5" w:rsidRPr="00CC4E81">
        <w:rPr>
          <w:rFonts w:ascii="Times New Roman" w:hAnsi="Times New Roman" w:cs="Times New Roman"/>
          <w:sz w:val="24"/>
          <w:szCs w:val="24"/>
        </w:rPr>
        <w:t>availability</w:t>
      </w:r>
      <w:r w:rsidR="002B2D85" w:rsidRPr="00CC4E81">
        <w:rPr>
          <w:rFonts w:ascii="Times New Roman" w:hAnsi="Times New Roman" w:cs="Times New Roman"/>
          <w:sz w:val="24"/>
          <w:szCs w:val="24"/>
        </w:rPr>
        <w:t xml:space="preserve"> of</w:t>
      </w:r>
      <w:r w:rsidRPr="00CC4E81">
        <w:rPr>
          <w:rFonts w:ascii="Times New Roman" w:hAnsi="Times New Roman" w:cs="Times New Roman"/>
          <w:sz w:val="24"/>
          <w:szCs w:val="24"/>
        </w:rPr>
        <w:t xml:space="preserve"> trade secret</w:t>
      </w:r>
      <w:r w:rsidR="003769A5" w:rsidRPr="00CC4E81">
        <w:rPr>
          <w:rFonts w:ascii="Times New Roman" w:hAnsi="Times New Roman" w:cs="Times New Roman"/>
          <w:sz w:val="24"/>
          <w:szCs w:val="24"/>
        </w:rPr>
        <w:t>s</w:t>
      </w:r>
      <w:r w:rsidRPr="00CC4E81">
        <w:rPr>
          <w:rFonts w:ascii="Times New Roman" w:hAnsi="Times New Roman" w:cs="Times New Roman"/>
          <w:sz w:val="24"/>
          <w:szCs w:val="24"/>
        </w:rPr>
        <w:t xml:space="preserve">. Considering these findings, we offer a third hypothesis: </w:t>
      </w:r>
    </w:p>
    <w:p w14:paraId="368EFB6D" w14:textId="03851013" w:rsidR="00303D51" w:rsidRPr="00CC4E81" w:rsidRDefault="00303D51" w:rsidP="00303D51">
      <w:pPr>
        <w:spacing w:after="0" w:line="480" w:lineRule="auto"/>
        <w:ind w:left="-14" w:right="-14"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H</w:t>
      </w:r>
      <w:r w:rsidR="00886F7B" w:rsidRPr="00CC4E81">
        <w:rPr>
          <w:rFonts w:ascii="Times New Roman" w:eastAsia="Garamond" w:hAnsi="Times New Roman" w:cs="Times New Roman"/>
          <w:b/>
          <w:bCs/>
          <w:sz w:val="24"/>
          <w:szCs w:val="24"/>
          <w14:ligatures w14:val="standard"/>
        </w:rPr>
        <w:t xml:space="preserve">ypothesis </w:t>
      </w:r>
      <w:r w:rsidR="00781ACD" w:rsidRPr="00CC4E81">
        <w:rPr>
          <w:rFonts w:ascii="Times New Roman" w:eastAsia="Garamond" w:hAnsi="Times New Roman" w:cs="Times New Roman"/>
          <w:b/>
          <w:bCs/>
          <w:sz w:val="24"/>
          <w:szCs w:val="24"/>
          <w14:ligatures w14:val="standard"/>
        </w:rPr>
        <w:t>3</w:t>
      </w:r>
      <w:r w:rsidR="008E6AB9" w:rsidRPr="00CC4E81">
        <w:rPr>
          <w:rFonts w:ascii="Times New Roman" w:eastAsia="Garamond" w:hAnsi="Times New Roman" w:cs="Times New Roman"/>
          <w:b/>
          <w:bCs/>
          <w:sz w:val="24"/>
          <w:szCs w:val="24"/>
          <w14:ligatures w14:val="standard"/>
        </w:rPr>
        <w:t>a</w:t>
      </w:r>
      <w:r w:rsidRPr="00CC4E81">
        <w:rPr>
          <w:rFonts w:ascii="Times New Roman" w:eastAsia="Garamond" w:hAnsi="Times New Roman" w:cs="Times New Roman"/>
          <w:b/>
          <w:bCs/>
          <w:sz w:val="24"/>
          <w:szCs w:val="24"/>
          <w14:ligatures w14:val="standard"/>
        </w:rPr>
        <w:t>:</w:t>
      </w:r>
      <w:r w:rsidRPr="00CC4E81">
        <w:rPr>
          <w:rFonts w:ascii="Times New Roman" w:eastAsia="Garamond" w:hAnsi="Times New Roman" w:cs="Times New Roman"/>
          <w:sz w:val="24"/>
          <w:szCs w:val="24"/>
          <w14:ligatures w14:val="standard"/>
        </w:rPr>
        <w:t xml:space="preserve"> In wealthier areas, the enactment of the RRC’s 2019 information disclosure policy will be associated with an increase in oil and gas well inspections.</w:t>
      </w:r>
    </w:p>
    <w:p w14:paraId="2650444A" w14:textId="30345701" w:rsidR="00303D51" w:rsidRPr="00CC4E81" w:rsidRDefault="00303D51" w:rsidP="00303D51">
      <w:pPr>
        <w:spacing w:after="0" w:line="480" w:lineRule="auto"/>
        <w:ind w:left="-14" w:right="-14"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H</w:t>
      </w:r>
      <w:r w:rsidR="00886F7B" w:rsidRPr="00CC4E81">
        <w:rPr>
          <w:rFonts w:ascii="Times New Roman" w:eastAsia="Garamond" w:hAnsi="Times New Roman" w:cs="Times New Roman"/>
          <w:b/>
          <w:bCs/>
          <w:sz w:val="24"/>
          <w:szCs w:val="24"/>
          <w14:ligatures w14:val="standard"/>
        </w:rPr>
        <w:t xml:space="preserve">ypothesis </w:t>
      </w:r>
      <w:r w:rsidR="00781ACD" w:rsidRPr="00CC4E81">
        <w:rPr>
          <w:rFonts w:ascii="Times New Roman" w:eastAsia="Garamond" w:hAnsi="Times New Roman" w:cs="Times New Roman"/>
          <w:b/>
          <w:bCs/>
          <w:sz w:val="24"/>
          <w:szCs w:val="24"/>
          <w14:ligatures w14:val="standard"/>
        </w:rPr>
        <w:t>3</w:t>
      </w:r>
      <w:r w:rsidR="008E6AB9" w:rsidRPr="00CC4E81">
        <w:rPr>
          <w:rFonts w:ascii="Times New Roman" w:eastAsia="Garamond" w:hAnsi="Times New Roman" w:cs="Times New Roman"/>
          <w:b/>
          <w:bCs/>
          <w:sz w:val="24"/>
          <w:szCs w:val="24"/>
          <w14:ligatures w14:val="standard"/>
        </w:rPr>
        <w:t>b</w:t>
      </w:r>
      <w:r w:rsidRPr="00CC4E81">
        <w:rPr>
          <w:rFonts w:ascii="Times New Roman" w:eastAsia="Garamond" w:hAnsi="Times New Roman" w:cs="Times New Roman"/>
          <w:b/>
          <w:bCs/>
          <w:sz w:val="24"/>
          <w:szCs w:val="24"/>
          <w14:ligatures w14:val="standard"/>
        </w:rPr>
        <w:t>:</w:t>
      </w:r>
      <w:r w:rsidRPr="00CC4E81">
        <w:rPr>
          <w:rFonts w:ascii="Times New Roman" w:eastAsia="Garamond" w:hAnsi="Times New Roman" w:cs="Times New Roman"/>
          <w:sz w:val="24"/>
          <w:szCs w:val="24"/>
          <w14:ligatures w14:val="standard"/>
        </w:rPr>
        <w:t xml:space="preserve"> In wealthier areas, the enactment of the RRC’s 2019 information disclosure policy will be associated with an increase in the identification of oil and gas violations.</w:t>
      </w:r>
    </w:p>
    <w:p w14:paraId="70588D7E" w14:textId="41D65A6F" w:rsidR="00303D51" w:rsidRPr="00CC4E81" w:rsidRDefault="00303D51" w:rsidP="00303D51">
      <w:pPr>
        <w:spacing w:after="0" w:line="480" w:lineRule="auto"/>
        <w:ind w:left="-14" w:right="-14"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lastRenderedPageBreak/>
        <w:t>H</w:t>
      </w:r>
      <w:r w:rsidR="00F11E23" w:rsidRPr="00CC4E81">
        <w:rPr>
          <w:rFonts w:ascii="Times New Roman" w:eastAsia="Garamond" w:hAnsi="Times New Roman" w:cs="Times New Roman"/>
          <w:b/>
          <w:bCs/>
          <w:sz w:val="24"/>
          <w:szCs w:val="24"/>
          <w14:ligatures w14:val="standard"/>
        </w:rPr>
        <w:t xml:space="preserve">ypothesis </w:t>
      </w:r>
      <w:r w:rsidR="00781ACD" w:rsidRPr="00CC4E81">
        <w:rPr>
          <w:rFonts w:ascii="Times New Roman" w:eastAsia="Garamond" w:hAnsi="Times New Roman" w:cs="Times New Roman"/>
          <w:b/>
          <w:bCs/>
          <w:sz w:val="24"/>
          <w:szCs w:val="24"/>
          <w14:ligatures w14:val="standard"/>
        </w:rPr>
        <w:t>3</w:t>
      </w:r>
      <w:r w:rsidR="008E6AB9" w:rsidRPr="00CC4E81">
        <w:rPr>
          <w:rFonts w:ascii="Times New Roman" w:eastAsia="Garamond" w:hAnsi="Times New Roman" w:cs="Times New Roman"/>
          <w:b/>
          <w:bCs/>
          <w:sz w:val="24"/>
          <w:szCs w:val="24"/>
          <w14:ligatures w14:val="standard"/>
        </w:rPr>
        <w:t>c</w:t>
      </w:r>
      <w:r w:rsidRPr="00CC4E81">
        <w:rPr>
          <w:rFonts w:ascii="Times New Roman" w:eastAsia="Garamond" w:hAnsi="Times New Roman" w:cs="Times New Roman"/>
          <w:b/>
          <w:bCs/>
          <w:sz w:val="24"/>
          <w:szCs w:val="24"/>
          <w14:ligatures w14:val="standard"/>
        </w:rPr>
        <w:t>:</w:t>
      </w:r>
      <w:r w:rsidRPr="00CC4E81">
        <w:rPr>
          <w:rFonts w:ascii="Times New Roman" w:eastAsia="Garamond" w:hAnsi="Times New Roman" w:cs="Times New Roman"/>
          <w:sz w:val="24"/>
          <w:szCs w:val="24"/>
          <w14:ligatures w14:val="standard"/>
        </w:rPr>
        <w:t xml:space="preserve"> In wealthier areas, the enactment of the 2019 information disclosure policy will be associated with an increase in administrative actions. </w:t>
      </w:r>
    </w:p>
    <w:p w14:paraId="00BD54D9" w14:textId="430DC425" w:rsidR="00500C0B" w:rsidRPr="00CC4E81" w:rsidRDefault="00ED02EB" w:rsidP="003769A5">
      <w:pPr>
        <w:spacing w:after="0" w:line="480" w:lineRule="auto"/>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 xml:space="preserve">However, </w:t>
      </w:r>
      <w:r w:rsidR="003769A5" w:rsidRPr="00CC4E81">
        <w:rPr>
          <w:rFonts w:ascii="Times New Roman" w:eastAsia="Garamond" w:hAnsi="Times New Roman" w:cs="Times New Roman"/>
          <w:sz w:val="24"/>
          <w:szCs w:val="24"/>
          <w14:ligatures w14:val="standard"/>
        </w:rPr>
        <w:t>these</w:t>
      </w:r>
      <w:r w:rsidRPr="00CC4E81">
        <w:rPr>
          <w:rFonts w:ascii="Times New Roman" w:eastAsia="Garamond" w:hAnsi="Times New Roman" w:cs="Times New Roman"/>
          <w:sz w:val="24"/>
          <w:szCs w:val="24"/>
          <w14:ligatures w14:val="standard"/>
        </w:rPr>
        <w:t xml:space="preserve"> effect</w:t>
      </w:r>
      <w:r w:rsidR="003769A5" w:rsidRPr="00CC4E81">
        <w:rPr>
          <w:rFonts w:ascii="Times New Roman" w:eastAsia="Garamond" w:hAnsi="Times New Roman" w:cs="Times New Roman"/>
          <w:sz w:val="24"/>
          <w:szCs w:val="24"/>
          <w14:ligatures w14:val="standard"/>
        </w:rPr>
        <w:t xml:space="preserve">s </w:t>
      </w:r>
      <w:r w:rsidRPr="00CC4E81">
        <w:rPr>
          <w:rFonts w:ascii="Times New Roman" w:eastAsia="Garamond" w:hAnsi="Times New Roman" w:cs="Times New Roman"/>
          <w:sz w:val="24"/>
          <w:szCs w:val="24"/>
          <w14:ligatures w14:val="standard"/>
        </w:rPr>
        <w:t>will not be uniform across various administrative actions.</w:t>
      </w:r>
    </w:p>
    <w:p w14:paraId="2571E703" w14:textId="48ED714B" w:rsidR="005F3FAB" w:rsidRPr="00CC4E81" w:rsidRDefault="00ED02EB" w:rsidP="002F6B12">
      <w:pPr>
        <w:spacing w:after="0" w:line="480" w:lineRule="auto"/>
        <w:ind w:right="-14"/>
        <w:rPr>
          <w:rFonts w:ascii="Times New Roman" w:eastAsia="Garamond" w:hAnsi="Times New Roman" w:cs="Times New Roman"/>
          <w:sz w:val="24"/>
          <w:szCs w:val="24"/>
          <w14:ligatures w14:val="standard"/>
        </w:rPr>
      </w:pPr>
      <w:r w:rsidRPr="00CC4E81">
        <w:rPr>
          <w:rFonts w:ascii="Times New Roman" w:eastAsia="Garamond" w:hAnsi="Times New Roman" w:cs="Times New Roman"/>
          <w:i/>
          <w:iCs/>
          <w:sz w:val="24"/>
          <w:szCs w:val="24"/>
          <w14:ligatures w14:val="standard"/>
        </w:rPr>
        <w:t>A Period of Policy Change</w:t>
      </w:r>
    </w:p>
    <w:p w14:paraId="36D78783" w14:textId="798A626F" w:rsidR="00500C0B" w:rsidRPr="00CC4E81" w:rsidRDefault="00ED02EB">
      <w:pPr>
        <w:spacing w:after="0" w:line="480" w:lineRule="auto"/>
        <w:ind w:left="-14" w:right="-14"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 xml:space="preserve">In January 2019, the Railroad Commission (RRC) of Texas announced its Online Inspection Lookup (OIL) </w:t>
      </w:r>
      <w:r w:rsidR="00545C51" w:rsidRPr="00CC4E81">
        <w:rPr>
          <w:rFonts w:ascii="Times New Roman" w:eastAsia="Garamond" w:hAnsi="Times New Roman" w:cs="Times New Roman"/>
          <w:sz w:val="24"/>
          <w:szCs w:val="24"/>
          <w14:ligatures w14:val="standard"/>
        </w:rPr>
        <w:t>would be changed</w:t>
      </w:r>
      <w:r w:rsidRPr="00CC4E81">
        <w:rPr>
          <w:rFonts w:ascii="Times New Roman" w:eastAsia="Garamond" w:hAnsi="Times New Roman" w:cs="Times New Roman"/>
          <w:sz w:val="24"/>
          <w:szCs w:val="24"/>
          <w14:ligatures w14:val="standard"/>
        </w:rPr>
        <w:t xml:space="preserve"> </w:t>
      </w:r>
      <w:r w:rsidR="00EB7FB3" w:rsidRPr="00CC4E81">
        <w:rPr>
          <w:rFonts w:ascii="Times New Roman" w:eastAsia="Garamond" w:hAnsi="Times New Roman" w:cs="Times New Roman"/>
          <w:sz w:val="24"/>
          <w:szCs w:val="24"/>
          <w14:ligatures w14:val="standard"/>
        </w:rPr>
        <w:t xml:space="preserve">to </w:t>
      </w:r>
      <w:r w:rsidRPr="00CC4E81">
        <w:rPr>
          <w:rFonts w:ascii="Times New Roman" w:eastAsia="Garamond" w:hAnsi="Times New Roman" w:cs="Times New Roman"/>
          <w:sz w:val="24"/>
          <w:szCs w:val="24"/>
          <w14:ligatures w14:val="standard"/>
        </w:rPr>
        <w:t xml:space="preserve">enable greater disclosure of state oil and gas records. Under the change, users could search </w:t>
      </w:r>
      <w:r w:rsidR="00EB7FB3" w:rsidRPr="00CC4E81">
        <w:rPr>
          <w:rFonts w:ascii="Times New Roman" w:eastAsia="Garamond" w:hAnsi="Times New Roman" w:cs="Times New Roman"/>
          <w:sz w:val="24"/>
          <w:szCs w:val="24"/>
          <w14:ligatures w14:val="standard"/>
        </w:rPr>
        <w:t xml:space="preserve">the RRC’s </w:t>
      </w:r>
      <w:r w:rsidRPr="00CC4E81">
        <w:rPr>
          <w:rFonts w:ascii="Times New Roman" w:eastAsia="Garamond" w:hAnsi="Times New Roman" w:cs="Times New Roman"/>
          <w:sz w:val="24"/>
          <w:szCs w:val="24"/>
          <w14:ligatures w14:val="standard"/>
        </w:rPr>
        <w:t xml:space="preserve">oil and gas inspection and enforcement database for </w:t>
      </w:r>
      <w:r w:rsidR="00EB7FB3" w:rsidRPr="00CC4E81">
        <w:rPr>
          <w:rFonts w:ascii="Times New Roman" w:eastAsia="Garamond" w:hAnsi="Times New Roman" w:cs="Times New Roman"/>
          <w:sz w:val="24"/>
          <w:szCs w:val="24"/>
          <w14:ligatures w14:val="standard"/>
        </w:rPr>
        <w:t xml:space="preserve">disaggregated and well-specific </w:t>
      </w:r>
      <w:r w:rsidRPr="00CC4E81">
        <w:rPr>
          <w:rFonts w:ascii="Times New Roman" w:eastAsia="Garamond" w:hAnsi="Times New Roman" w:cs="Times New Roman"/>
          <w:sz w:val="24"/>
          <w:szCs w:val="24"/>
          <w14:ligatures w14:val="standard"/>
        </w:rPr>
        <w:t xml:space="preserve">enforcement outputs, including </w:t>
      </w:r>
      <w:r w:rsidR="00EB7FB3" w:rsidRPr="00CC4E81">
        <w:rPr>
          <w:rFonts w:ascii="Times New Roman" w:eastAsia="Garamond" w:hAnsi="Times New Roman" w:cs="Times New Roman"/>
          <w:sz w:val="24"/>
          <w:szCs w:val="24"/>
          <w14:ligatures w14:val="standard"/>
        </w:rPr>
        <w:t xml:space="preserve">inspections, the detection of </w:t>
      </w:r>
      <w:r w:rsidRPr="00CC4E81">
        <w:rPr>
          <w:rFonts w:ascii="Times New Roman" w:eastAsia="Garamond" w:hAnsi="Times New Roman" w:cs="Times New Roman"/>
          <w:sz w:val="24"/>
          <w:szCs w:val="24"/>
          <w14:ligatures w14:val="standard"/>
        </w:rPr>
        <w:t>violations</w:t>
      </w:r>
      <w:r w:rsidR="00545C51" w:rsidRPr="00CC4E81">
        <w:rPr>
          <w:rFonts w:ascii="Times New Roman" w:eastAsia="Garamond" w:hAnsi="Times New Roman" w:cs="Times New Roman"/>
          <w:sz w:val="24"/>
          <w:szCs w:val="24"/>
          <w14:ligatures w14:val="standard"/>
        </w:rPr>
        <w:t>,</w:t>
      </w:r>
      <w:r w:rsidRPr="00CC4E81">
        <w:rPr>
          <w:rFonts w:ascii="Times New Roman" w:eastAsia="Garamond" w:hAnsi="Times New Roman" w:cs="Times New Roman"/>
          <w:sz w:val="24"/>
          <w:szCs w:val="24"/>
          <w14:ligatures w14:val="standard"/>
        </w:rPr>
        <w:t xml:space="preserve"> and administrative responses to violations</w:t>
      </w:r>
      <w:r w:rsidR="00EB7FB3" w:rsidRPr="00CC4E81">
        <w:rPr>
          <w:rFonts w:ascii="Times New Roman" w:eastAsia="Garamond" w:hAnsi="Times New Roman" w:cs="Times New Roman"/>
          <w:sz w:val="24"/>
          <w:szCs w:val="24"/>
          <w14:ligatures w14:val="standard"/>
        </w:rPr>
        <w:t xml:space="preserve">. </w:t>
      </w:r>
      <w:r w:rsidRPr="00CC4E81">
        <w:rPr>
          <w:rFonts w:ascii="Times New Roman" w:eastAsia="Garamond" w:hAnsi="Times New Roman" w:cs="Times New Roman"/>
          <w:sz w:val="24"/>
          <w:szCs w:val="24"/>
          <w14:ligatures w14:val="standard"/>
        </w:rPr>
        <w:t xml:space="preserve">In </w:t>
      </w:r>
      <w:r w:rsidR="00EB7FB3" w:rsidRPr="00CC4E81">
        <w:rPr>
          <w:rFonts w:ascii="Times New Roman" w:eastAsia="Garamond" w:hAnsi="Times New Roman" w:cs="Times New Roman"/>
          <w:sz w:val="24"/>
          <w:szCs w:val="24"/>
          <w14:ligatures w14:val="standard"/>
        </w:rPr>
        <w:t>other words</w:t>
      </w:r>
      <w:r w:rsidRPr="00CC4E81">
        <w:rPr>
          <w:rFonts w:ascii="Times New Roman" w:eastAsia="Garamond" w:hAnsi="Times New Roman" w:cs="Times New Roman"/>
          <w:sz w:val="24"/>
          <w:szCs w:val="24"/>
          <w14:ligatures w14:val="standard"/>
        </w:rPr>
        <w:t xml:space="preserve">, the change permitted users to search for individual violations or records rather than records that were previously aggregated to the county level. Within the new disclosure system, users </w:t>
      </w:r>
      <w:r w:rsidR="00EB7FB3" w:rsidRPr="00CC4E81">
        <w:rPr>
          <w:rFonts w:ascii="Times New Roman" w:eastAsia="Garamond" w:hAnsi="Times New Roman" w:cs="Times New Roman"/>
          <w:sz w:val="24"/>
          <w:szCs w:val="24"/>
          <w14:ligatures w14:val="standard"/>
        </w:rPr>
        <w:t xml:space="preserve">would also be able to </w:t>
      </w:r>
      <w:r w:rsidRPr="00CC4E81">
        <w:rPr>
          <w:rFonts w:ascii="Times New Roman" w:eastAsia="Garamond" w:hAnsi="Times New Roman" w:cs="Times New Roman"/>
          <w:sz w:val="24"/>
          <w:szCs w:val="24"/>
          <w14:ligatures w14:val="standard"/>
        </w:rPr>
        <w:t xml:space="preserve">search by operator name, lease, </w:t>
      </w:r>
      <w:r w:rsidR="00EB7FB3" w:rsidRPr="00CC4E81">
        <w:rPr>
          <w:rFonts w:ascii="Times New Roman" w:eastAsia="Garamond" w:hAnsi="Times New Roman" w:cs="Times New Roman"/>
          <w:sz w:val="24"/>
          <w:szCs w:val="24"/>
          <w14:ligatures w14:val="standard"/>
        </w:rPr>
        <w:t xml:space="preserve">the API </w:t>
      </w:r>
      <w:r w:rsidRPr="00CC4E81">
        <w:rPr>
          <w:rFonts w:ascii="Times New Roman" w:eastAsia="Garamond" w:hAnsi="Times New Roman" w:cs="Times New Roman"/>
          <w:sz w:val="24"/>
          <w:szCs w:val="24"/>
          <w14:ligatures w14:val="standard"/>
        </w:rPr>
        <w:t>number (which includes GIS location information), county, specific rule or operating standard, applicable RRC district, and specified date periods. Commissioner Wayne Christian described the tool’s purpose</w:t>
      </w:r>
      <w:r w:rsidR="00545C51" w:rsidRPr="00CC4E81">
        <w:rPr>
          <w:rFonts w:ascii="Times New Roman" w:eastAsia="Garamond" w:hAnsi="Times New Roman" w:cs="Times New Roman"/>
          <w:sz w:val="24"/>
          <w:szCs w:val="24"/>
          <w14:ligatures w14:val="standard"/>
        </w:rPr>
        <w:t xml:space="preserve"> as</w:t>
      </w:r>
      <w:r w:rsidRPr="00CC4E81">
        <w:rPr>
          <w:rFonts w:ascii="Times New Roman" w:eastAsia="Garamond" w:hAnsi="Times New Roman" w:cs="Times New Roman"/>
          <w:sz w:val="24"/>
          <w:szCs w:val="24"/>
          <w14:ligatures w14:val="standard"/>
        </w:rPr>
        <w:t>: “</w:t>
      </w:r>
      <w:r w:rsidR="00545C51" w:rsidRPr="00CC4E81">
        <w:rPr>
          <w:rFonts w:ascii="Times New Roman" w:eastAsia="Garamond" w:hAnsi="Times New Roman" w:cs="Times New Roman"/>
          <w:sz w:val="24"/>
          <w:szCs w:val="24"/>
          <w14:ligatures w14:val="standard"/>
        </w:rPr>
        <w:t>t</w:t>
      </w:r>
      <w:r w:rsidRPr="00CC4E81">
        <w:rPr>
          <w:rFonts w:ascii="Times New Roman" w:eastAsia="Garamond" w:hAnsi="Times New Roman" w:cs="Times New Roman"/>
          <w:sz w:val="24"/>
          <w:szCs w:val="24"/>
          <w14:ligatures w14:val="standard"/>
        </w:rPr>
        <w:t xml:space="preserve">his tool will be helpful to our agency, the industry, and, most importantly, the public in ensuring individuals have easy, transparent access to data regarding the regulation of our natural resources. I applaud our hardworking staff and the commitment of funding from the Texas Legislature in making this long-desired tool a reality”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rPr>
        <w:instrText xml:space="preserve"> ADDIN ZOTERO_ITEM CSL_CITATION {"citationID":"b0Wy1oI9","properties":{"formattedCitation":"(RRC 2019)","plainCitation":"(RRC 2019)","noteIndex":0},"citationItems":[{"id":1759,"uris":["http://zotero.org/users/3682065/items/WG2NJGXV"],"itemData":{"id":1759,"type":"webpage","container-title":"Railroad Commission of Texas","genre":"Government Press Release","title":"Railroad Commission Launches Texas’ First Online Searchable Database","URL":"https://www.rrc.texas.gov/news/012319a-railroad-commission-launches-texas-first-online-searchable-database/","author":[{"literal":"RRC"}],"accessed":{"date-parts":[["2025",4,5]]},"issued":{"date-parts":[["2019",1,23]]}}}],"schema":"https://github.com/citation-style-language/schema/raw/master/csl-citation.json"} </w:instrText>
      </w:r>
      <w:r w:rsidRPr="00CC4E81">
        <w:rPr>
          <w:rFonts w:ascii="Times New Roman" w:eastAsia="Garamond" w:hAnsi="Times New Roman" w:cs="Times New Roman"/>
          <w:sz w:val="24"/>
          <w:szCs w:val="24"/>
        </w:rPr>
        <w:fldChar w:fldCharType="separate"/>
      </w:r>
      <w:r w:rsidRPr="00CC4E81">
        <w:rPr>
          <w:rFonts w:ascii="Times New Roman" w:hAnsi="Times New Roman" w:cs="Times New Roman"/>
          <w:sz w:val="24"/>
          <w:szCs w:val="24"/>
        </w:rPr>
        <w:t>(RRC 2019)</w:t>
      </w:r>
      <w:r w:rsidRPr="00CC4E81">
        <w:rPr>
          <w:rFonts w:ascii="Times New Roman" w:eastAsia="Garamond" w:hAnsi="Times New Roman" w:cs="Times New Roman"/>
          <w:sz w:val="24"/>
          <w:szCs w:val="24"/>
        </w:rPr>
        <w:fldChar w:fldCharType="end"/>
      </w:r>
      <w:r w:rsidRPr="00CC4E81">
        <w:rPr>
          <w:rFonts w:ascii="Times New Roman" w:eastAsia="Garamond" w:hAnsi="Times New Roman" w:cs="Times New Roman"/>
          <w:sz w:val="24"/>
          <w:szCs w:val="24"/>
          <w14:ligatures w14:val="standard"/>
        </w:rPr>
        <w:t xml:space="preserve">. </w:t>
      </w:r>
    </w:p>
    <w:p w14:paraId="3BCBDF37" w14:textId="77777777" w:rsidR="00500C0B" w:rsidRPr="00CC4E81" w:rsidRDefault="00ED02EB">
      <w:pPr>
        <w:spacing w:after="0" w:line="480" w:lineRule="auto"/>
        <w:rPr>
          <w:rFonts w:ascii="Times New Roman" w:hAnsi="Times New Roman" w:cs="Times New Roman"/>
          <w:b/>
          <w:bCs/>
          <w:sz w:val="24"/>
          <w:szCs w:val="24"/>
          <w14:ligatures w14:val="standard"/>
        </w:rPr>
      </w:pPr>
      <w:r w:rsidRPr="00CC4E81">
        <w:rPr>
          <w:rFonts w:ascii="Times New Roman" w:hAnsi="Times New Roman" w:cs="Times New Roman"/>
          <w:b/>
          <w:bCs/>
          <w:sz w:val="24"/>
          <w:szCs w:val="24"/>
          <w14:ligatures w14:val="standard"/>
        </w:rPr>
        <w:t>Methodology</w:t>
      </w:r>
    </w:p>
    <w:p w14:paraId="173F13EE" w14:textId="4A2EBF52" w:rsidR="00500C0B" w:rsidRPr="00CC4E81" w:rsidRDefault="00ED02EB">
      <w:pPr>
        <w:spacing w:after="0" w:line="480" w:lineRule="auto"/>
        <w:ind w:firstLine="720"/>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shd w:val="clear" w:color="auto" w:fill="FFFFFF"/>
          <w14:ligatures w14:val="standard"/>
        </w:rPr>
        <w:t xml:space="preserve">To test </w:t>
      </w:r>
      <w:r w:rsidR="000153DD" w:rsidRPr="00CC4E81">
        <w:rPr>
          <w:rFonts w:ascii="Times New Roman" w:eastAsia="Garamond" w:hAnsi="Times New Roman" w:cs="Times New Roman"/>
          <w:sz w:val="24"/>
          <w:szCs w:val="24"/>
          <w:shd w:val="clear" w:color="auto" w:fill="FFFFFF"/>
          <w14:ligatures w14:val="standard"/>
        </w:rPr>
        <w:t>our</w:t>
      </w:r>
      <w:r w:rsidRPr="00CC4E81">
        <w:rPr>
          <w:rFonts w:ascii="Times New Roman" w:eastAsia="Garamond" w:hAnsi="Times New Roman" w:cs="Times New Roman"/>
          <w:sz w:val="24"/>
          <w:szCs w:val="24"/>
          <w:shd w:val="clear" w:color="auto" w:fill="FFFFFF"/>
          <w14:ligatures w14:val="standard"/>
        </w:rPr>
        <w:t xml:space="preserve"> hypotheses and analyze the impact of the 2019 policy change on </w:t>
      </w:r>
      <w:r w:rsidR="000153DD" w:rsidRPr="00CC4E81">
        <w:rPr>
          <w:rFonts w:ascii="Times New Roman" w:eastAsia="Garamond" w:hAnsi="Times New Roman" w:cs="Times New Roman"/>
          <w:sz w:val="24"/>
          <w:szCs w:val="24"/>
          <w:shd w:val="clear" w:color="auto" w:fill="FFFFFF"/>
          <w14:ligatures w14:val="standard"/>
        </w:rPr>
        <w:t>the regulatory pipeline</w:t>
      </w:r>
      <w:r w:rsidRPr="00CC4E81">
        <w:rPr>
          <w:rFonts w:ascii="Times New Roman" w:eastAsia="Garamond" w:hAnsi="Times New Roman" w:cs="Times New Roman"/>
          <w:sz w:val="24"/>
          <w:szCs w:val="24"/>
          <w:shd w:val="clear" w:color="auto" w:fill="FFFFFF"/>
          <w14:ligatures w14:val="standard"/>
        </w:rPr>
        <w:t xml:space="preserve">, we used a combination of PostgreSQL and Python. PostgreSQL, a database management system equipped with the PostGIS extension, allowed us to store and manage spatial data, while Python facilitated econometric analyses. </w:t>
      </w:r>
      <w:r w:rsidR="000153DD" w:rsidRPr="00CC4E81">
        <w:rPr>
          <w:rFonts w:ascii="Times New Roman" w:eastAsia="Garamond" w:hAnsi="Times New Roman" w:cs="Times New Roman"/>
          <w:sz w:val="24"/>
          <w:szCs w:val="24"/>
          <w:shd w:val="clear" w:color="auto" w:fill="FFFFFF"/>
          <w14:ligatures w14:val="standard"/>
        </w:rPr>
        <w:t>Based on</w:t>
      </w:r>
      <w:r w:rsidRPr="00CC4E81">
        <w:rPr>
          <w:rFonts w:ascii="Times New Roman" w:eastAsia="Garamond" w:hAnsi="Times New Roman" w:cs="Times New Roman"/>
          <w:sz w:val="24"/>
          <w:szCs w:val="24"/>
          <w:shd w:val="clear" w:color="auto" w:fill="FFFFFF"/>
          <w14:ligatures w14:val="standard"/>
        </w:rPr>
        <w:t xml:space="preserve"> our research question, we </w:t>
      </w:r>
      <w:r w:rsidRPr="00CC4E81">
        <w:rPr>
          <w:rFonts w:ascii="Times New Roman" w:eastAsia="Garamond" w:hAnsi="Times New Roman" w:cs="Times New Roman"/>
          <w:sz w:val="24"/>
          <w:szCs w:val="24"/>
          <w:shd w:val="clear" w:color="auto" w:fill="FFFFFF"/>
          <w14:ligatures w14:val="standard"/>
        </w:rPr>
        <w:lastRenderedPageBreak/>
        <w:t>analyz</w:t>
      </w:r>
      <w:r w:rsidRPr="00CC4E81">
        <w:rPr>
          <w:rFonts w:ascii="Times New Roman" w:eastAsia="Garamond" w:hAnsi="Times New Roman" w:cs="Times New Roman"/>
          <w:sz w:val="24"/>
          <w:szCs w:val="24"/>
          <w14:ligatures w14:val="standard"/>
        </w:rPr>
        <w:t>e</w:t>
      </w:r>
      <w:r w:rsidR="00EB7FB3" w:rsidRPr="00CC4E81">
        <w:rPr>
          <w:rFonts w:ascii="Times New Roman" w:eastAsia="Garamond" w:hAnsi="Times New Roman" w:cs="Times New Roman"/>
          <w:sz w:val="24"/>
          <w:szCs w:val="24"/>
          <w14:ligatures w14:val="standard"/>
        </w:rPr>
        <w:t>d</w:t>
      </w:r>
      <w:r w:rsidRPr="00CC4E81">
        <w:rPr>
          <w:rFonts w:ascii="Times New Roman" w:eastAsia="Garamond" w:hAnsi="Times New Roman" w:cs="Times New Roman"/>
          <w:sz w:val="24"/>
          <w:szCs w:val="24"/>
          <w14:ligatures w14:val="standard"/>
        </w:rPr>
        <w:t xml:space="preserve"> nearly 350,000 individual enforcement actions spanning from 2015 to 2023. The initial dataset often contained multiple entries – a violation record – per well. These were aggregated to ensure unique entries per well. After this aggregation, the number of rows in the primary dataset was reduced to a final count of 69,873 wells with one or more violation records. Figure 1 shows a map of these wells across the state of Texas. </w:t>
      </w:r>
    </w:p>
    <w:p w14:paraId="697CD48A" w14:textId="77777777" w:rsidR="00360F32" w:rsidRPr="00CC4E81" w:rsidRDefault="00360F32">
      <w:pPr>
        <w:spacing w:after="0" w:line="480" w:lineRule="auto"/>
        <w:ind w:firstLine="720"/>
        <w:rPr>
          <w:rFonts w:ascii="Times New Roman" w:eastAsia="Garamond" w:hAnsi="Times New Roman" w:cs="Times New Roman"/>
          <w:sz w:val="24"/>
          <w:szCs w:val="24"/>
          <w14:ligatures w14:val="standard"/>
        </w:rPr>
      </w:pPr>
    </w:p>
    <w:p w14:paraId="5D4F7F5D" w14:textId="77777777" w:rsidR="00116947" w:rsidRPr="00CC4E81" w:rsidRDefault="00116947">
      <w:pPr>
        <w:spacing w:after="0" w:line="480" w:lineRule="auto"/>
        <w:ind w:firstLine="720"/>
        <w:rPr>
          <w:rFonts w:ascii="Times New Roman" w:eastAsia="Garamond" w:hAnsi="Times New Roman" w:cs="Times New Roman"/>
          <w:sz w:val="24"/>
          <w:szCs w:val="24"/>
          <w14:ligatures w14:val="standard"/>
        </w:rPr>
      </w:pPr>
    </w:p>
    <w:p w14:paraId="1AE77EFD" w14:textId="5667A356" w:rsidR="00360F32" w:rsidRPr="00CC4E81" w:rsidRDefault="00360F32" w:rsidP="00360F32">
      <w:pPr>
        <w:spacing w:after="0" w:line="480" w:lineRule="auto"/>
        <w:ind w:firstLine="720"/>
        <w:jc w:val="center"/>
        <w:rPr>
          <w:rFonts w:ascii="Times New Roman" w:eastAsia="Garamond" w:hAnsi="Times New Roman" w:cs="Times New Roman"/>
          <w:sz w:val="24"/>
          <w:szCs w:val="24"/>
          <w14:ligatures w14:val="standard"/>
        </w:rPr>
      </w:pPr>
      <w:r w:rsidRPr="00CC4E81">
        <w:rPr>
          <w:rFonts w:ascii="Times New Roman" w:eastAsia="Garamond" w:hAnsi="Times New Roman" w:cs="Times New Roman"/>
          <w:sz w:val="24"/>
          <w:szCs w:val="24"/>
          <w14:ligatures w14:val="standard"/>
        </w:rPr>
        <w:t>[FIGURE 1 ABOUT HERE]</w:t>
      </w:r>
    </w:p>
    <w:p w14:paraId="69EC47DB" w14:textId="60F1F9B3" w:rsidR="00500C0B" w:rsidRPr="00CC4E81" w:rsidRDefault="00500C0B">
      <w:pPr>
        <w:keepNext/>
        <w:spacing w:after="0" w:line="480" w:lineRule="auto"/>
        <w:rPr>
          <w:rFonts w:ascii="Times New Roman" w:hAnsi="Times New Roman" w:cs="Times New Roman"/>
          <w:sz w:val="24"/>
          <w:szCs w:val="24"/>
          <w14:ligatures w14:val="standard"/>
        </w:rPr>
      </w:pPr>
    </w:p>
    <w:p w14:paraId="25B1CB75" w14:textId="77777777" w:rsidR="00116947" w:rsidRPr="00CC4E81" w:rsidRDefault="00116947">
      <w:pPr>
        <w:keepNext/>
        <w:spacing w:after="0" w:line="480" w:lineRule="auto"/>
        <w:rPr>
          <w:rFonts w:ascii="Times New Roman" w:hAnsi="Times New Roman" w:cs="Times New Roman"/>
          <w:sz w:val="24"/>
          <w:szCs w:val="24"/>
          <w14:ligatures w14:val="standard"/>
        </w:rPr>
      </w:pPr>
    </w:p>
    <w:p w14:paraId="10164C33" w14:textId="3F9A7BFA" w:rsidR="00500C0B" w:rsidRPr="00CC4E81" w:rsidRDefault="00ED02EB">
      <w:pPr>
        <w:spacing w:after="0" w:line="480" w:lineRule="auto"/>
        <w:ind w:firstLine="720"/>
        <w:rPr>
          <w:rFonts w:ascii="Times New Roman" w:eastAsia="Garamond" w:hAnsi="Times New Roman" w:cs="Times New Roman"/>
          <w:sz w:val="24"/>
          <w:szCs w:val="24"/>
          <w:shd w:val="clear" w:color="auto" w:fill="FFFFFF"/>
          <w14:ligatures w14:val="standard"/>
        </w:rPr>
      </w:pPr>
      <w:r w:rsidRPr="00CC4E81">
        <w:rPr>
          <w:rFonts w:ascii="Times New Roman" w:eastAsia="Garamond" w:hAnsi="Times New Roman" w:cs="Times New Roman"/>
          <w:sz w:val="24"/>
          <w:szCs w:val="24"/>
          <w:shd w:val="clear" w:color="auto" w:fill="FFFFFF"/>
          <w14:ligatures w14:val="standard"/>
        </w:rPr>
        <w:t xml:space="preserve">In addition to the violation data, we use a geographic shape file of all oil and gas wells in Texas to account for spatial dependence, or spatial autocorrelation, where observations located near each other in space tend to have similar values or exhibit similar patterns. In the context of our study, spatial dependence implies that the count at neighboring wells influences the count of violations at a given well. Spatial dependence violates the independence assumption in traditional regression models, leading to biased and inefficient estimates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shd w:val="clear" w:color="auto" w:fill="FFFFFF"/>
        </w:rPr>
        <w:instrText xml:space="preserve"> ADDIN ZOTERO_ITEM CSL_CITATION {"citationID":"rajhhgSf","properties":{"formattedCitation":"(Ward and Gleditsch 2019)","plainCitation":"(Ward and Gleditsch 2019)","noteIndex":0},"citationItems":[{"id":1777,"uris":["http://zotero.org/users/3682065/items/ENFGABHY"],"itemData":{"id":1777,"type":"book","call-number":"HA30.6 .W37 2019","collection-number":"155","collection-title":"Quantitative applications in the social sciences","edition":"Second Edition","event-place":"Los Angeles","ISBN":"978-1-5443-2883-6","number-of-pages":"112","publisher":"SAGE","publisher-place":"Los Angeles","source":"Library of Congress ISBN","title":"Spatial regression models","author":[{"family":"Ward","given":"Michael Don"},{"family":"Gleditsch","given":"Kristian Skrede"}],"issued":{"date-parts":[["2019"]]}}}],"schema":"https://github.com/citation-style-language/schema/raw/master/csl-citation.json"} </w:instrText>
      </w:r>
      <w:r w:rsidRPr="00CC4E81">
        <w:rPr>
          <w:rFonts w:ascii="Times New Roman" w:eastAsia="Garamond" w:hAnsi="Times New Roman" w:cs="Times New Roman"/>
          <w:sz w:val="24"/>
          <w:szCs w:val="24"/>
          <w:shd w:val="clear" w:color="auto" w:fill="FFFFFF"/>
        </w:rPr>
        <w:fldChar w:fldCharType="separate"/>
      </w:r>
      <w:r w:rsidRPr="00CC4E81">
        <w:rPr>
          <w:rFonts w:ascii="Times New Roman" w:hAnsi="Times New Roman" w:cs="Times New Roman"/>
          <w:sz w:val="24"/>
          <w:szCs w:val="24"/>
        </w:rPr>
        <w:t>(Ward and Gleditsch 2019)</w:t>
      </w:r>
      <w:r w:rsidRPr="00CC4E81">
        <w:rPr>
          <w:rFonts w:ascii="Times New Roman" w:eastAsia="Garamond" w:hAnsi="Times New Roman" w:cs="Times New Roman"/>
          <w:sz w:val="24"/>
          <w:szCs w:val="24"/>
          <w:shd w:val="clear" w:color="auto" w:fill="FFFFFF"/>
        </w:rPr>
        <w:fldChar w:fldCharType="end"/>
      </w:r>
      <w:r w:rsidRPr="00CC4E81">
        <w:rPr>
          <w:rFonts w:ascii="Times New Roman" w:eastAsia="Garamond" w:hAnsi="Times New Roman" w:cs="Times New Roman"/>
          <w:sz w:val="24"/>
          <w:szCs w:val="24"/>
          <w:shd w:val="clear" w:color="auto" w:fill="FFFFFF"/>
          <w14:ligatures w14:val="standard"/>
        </w:rPr>
        <w:t>. In this study, we construct</w:t>
      </w:r>
      <w:r w:rsidR="00EB7FB3" w:rsidRPr="00CC4E81">
        <w:rPr>
          <w:rFonts w:ascii="Times New Roman" w:eastAsia="Garamond" w:hAnsi="Times New Roman" w:cs="Times New Roman"/>
          <w:sz w:val="24"/>
          <w:szCs w:val="24"/>
          <w:shd w:val="clear" w:color="auto" w:fill="FFFFFF"/>
          <w14:ligatures w14:val="standard"/>
        </w:rPr>
        <w:t>ed</w:t>
      </w:r>
      <w:r w:rsidRPr="00CC4E81">
        <w:rPr>
          <w:rFonts w:ascii="Times New Roman" w:eastAsia="Garamond" w:hAnsi="Times New Roman" w:cs="Times New Roman"/>
          <w:sz w:val="24"/>
          <w:szCs w:val="24"/>
          <w:shd w:val="clear" w:color="auto" w:fill="FFFFFF"/>
          <w14:ligatures w14:val="standard"/>
        </w:rPr>
        <w:t xml:space="preserve"> a spatial weight matrix using the Queen contiguity method of defining neighbors – horizontally, vertically, or diagonally adjacent wells </w:t>
      </w:r>
      <w:r w:rsidRPr="00CC4E81">
        <w:rPr>
          <w:rFonts w:ascii="Times New Roman" w:hAnsi="Times New Roman" w:cs="Times New Roman"/>
          <w:sz w:val="24"/>
          <w:szCs w:val="24"/>
        </w:rPr>
        <w:fldChar w:fldCharType="begin"/>
      </w:r>
      <w:r w:rsidR="003B0A34" w:rsidRPr="00CC4E81">
        <w:rPr>
          <w:rFonts w:ascii="Times New Roman" w:eastAsia="Garamond" w:hAnsi="Times New Roman" w:cs="Times New Roman"/>
          <w:sz w:val="24"/>
          <w:szCs w:val="24"/>
          <w:shd w:val="clear" w:color="auto" w:fill="FFFFFF"/>
        </w:rPr>
        <w:instrText xml:space="preserve"> ADDIN ZOTERO_ITEM CSL_CITATION {"citationID":"3brHvVy0","properties":{"formattedCitation":"(Arbia and Baltagi 2009)","plainCitation":"(Arbia and Baltagi 2009)","noteIndex":0},"citationItems":[{"id":1776,"uris":["http://zotero.org/users/3682065/items/NCJYE9ZW"],"itemData":{"id":1776,"type":"book","event-place":"Heidelberg","ISBN":"978-3-7908-2069-0","language":"en","license":"http://www.springer.com/tdm","note":"DOI: 10.1007/978-3-7908-2070-6","publisher":"Physica-Verlag HD","publisher-place":"Heidelberg","source":"DOI.org (Crossref)","title":"Spatial Econometrics","URL":"http://link.springer.com/10.1007/978-3-7908-2070-6","editor":[{"family":"Arbia","given":"Giuseppe"},{"family":"Baltagi","given":"Badi H."}],"accessed":{"date-parts":[["2025",4,5]]},"issued":{"date-parts":[["2009"]]}}}],"schema":"https://github.com/citation-style-language/schema/raw/master/csl-citation.json"} </w:instrText>
      </w:r>
      <w:r w:rsidRPr="00CC4E81">
        <w:rPr>
          <w:rFonts w:ascii="Times New Roman" w:eastAsia="Garamond" w:hAnsi="Times New Roman" w:cs="Times New Roman"/>
          <w:sz w:val="24"/>
          <w:szCs w:val="24"/>
          <w:shd w:val="clear" w:color="auto" w:fill="FFFFFF"/>
        </w:rPr>
        <w:fldChar w:fldCharType="separate"/>
      </w:r>
      <w:r w:rsidRPr="00CC4E81">
        <w:rPr>
          <w:rFonts w:ascii="Times New Roman" w:hAnsi="Times New Roman" w:cs="Times New Roman"/>
          <w:sz w:val="24"/>
          <w:szCs w:val="24"/>
        </w:rPr>
        <w:t>(Arbia and Baltagi 2009)</w:t>
      </w:r>
      <w:r w:rsidRPr="00CC4E81">
        <w:rPr>
          <w:rFonts w:ascii="Times New Roman" w:eastAsia="Garamond" w:hAnsi="Times New Roman" w:cs="Times New Roman"/>
          <w:sz w:val="24"/>
          <w:szCs w:val="24"/>
          <w:shd w:val="clear" w:color="auto" w:fill="FFFFFF"/>
        </w:rPr>
        <w:fldChar w:fldCharType="end"/>
      </w:r>
      <w:r w:rsidRPr="00CC4E81">
        <w:rPr>
          <w:rFonts w:ascii="Times New Roman" w:eastAsia="Garamond" w:hAnsi="Times New Roman" w:cs="Times New Roman"/>
          <w:sz w:val="24"/>
          <w:szCs w:val="24"/>
          <w:shd w:val="clear" w:color="auto" w:fill="FFFFFF"/>
          <w14:ligatures w14:val="standard"/>
        </w:rPr>
        <w:t xml:space="preserve">. No disconnected components were found in the spatial weights matrix. </w:t>
      </w:r>
    </w:p>
    <w:p w14:paraId="4275F607" w14:textId="77777777" w:rsidR="00500C0B" w:rsidRPr="00CC4E81" w:rsidRDefault="00ED02EB">
      <w:pPr>
        <w:spacing w:after="0" w:line="480" w:lineRule="auto"/>
        <w:rPr>
          <w:rFonts w:ascii="Times New Roman" w:hAnsi="Times New Roman" w:cs="Times New Roman"/>
          <w:i/>
          <w:iCs/>
          <w:sz w:val="24"/>
          <w:szCs w:val="24"/>
          <w14:ligatures w14:val="standard"/>
        </w:rPr>
      </w:pPr>
      <w:r w:rsidRPr="00CC4E81">
        <w:rPr>
          <w:rFonts w:ascii="Times New Roman" w:hAnsi="Times New Roman" w:cs="Times New Roman"/>
          <w:i/>
          <w:iCs/>
          <w:sz w:val="24"/>
          <w:szCs w:val="24"/>
          <w14:ligatures w14:val="standard"/>
        </w:rPr>
        <w:t>Multivariate Analysis</w:t>
      </w:r>
    </w:p>
    <w:p w14:paraId="426C388B" w14:textId="3E9AE7AF" w:rsidR="00500C0B" w:rsidRPr="00CC4E81" w:rsidRDefault="00ED02EB">
      <w:pPr>
        <w:spacing w:after="0" w:line="480" w:lineRule="auto"/>
        <w:ind w:firstLine="720"/>
        <w:rPr>
          <w:rFonts w:ascii="Times New Roman" w:hAnsi="Times New Roman" w:cs="Times New Roman"/>
          <w:i/>
          <w:iCs/>
          <w:sz w:val="24"/>
          <w:szCs w:val="24"/>
          <w14:ligatures w14:val="standard"/>
        </w:rPr>
      </w:pPr>
      <w:r w:rsidRPr="00CC4E81">
        <w:rPr>
          <w:rFonts w:ascii="Times New Roman" w:hAnsi="Times New Roman" w:cs="Times New Roman"/>
          <w:sz w:val="24"/>
          <w:szCs w:val="24"/>
          <w14:ligatures w14:val="standard"/>
        </w:rPr>
        <w:t xml:space="preserve">A baseline ordinary least squares (OLS) model was employed initially to test our first hypothesis and analyze the number of violations without considering spatial effects. Table 1 presents the results from the OLS model. The OLS model reveals a significant positive effect of </w:t>
      </w:r>
      <w:r w:rsidRPr="00CC4E81">
        <w:rPr>
          <w:rFonts w:ascii="Times New Roman" w:hAnsi="Times New Roman" w:cs="Times New Roman"/>
          <w:sz w:val="24"/>
          <w:szCs w:val="24"/>
          <w14:ligatures w14:val="standard"/>
        </w:rPr>
        <w:lastRenderedPageBreak/>
        <w:t>the 2019 policy change on the number of violations (β = 0.4575, p &lt; 0.0001), indicating increased violations post-policy.</w:t>
      </w:r>
    </w:p>
    <w:p w14:paraId="4CC209B5" w14:textId="20794F22" w:rsidR="00500C0B" w:rsidRPr="00CC4E81" w:rsidRDefault="00ED02EB">
      <w:pPr>
        <w:spacing w:after="0" w:line="480" w:lineRule="auto"/>
        <w:ind w:firstLine="720"/>
        <w:rPr>
          <w:rFonts w:ascii="Times New Roman" w:hAnsi="Times New Roman" w:cs="Times New Roman"/>
          <w:sz w:val="24"/>
          <w:szCs w:val="24"/>
          <w14:ligatures w14:val="standard"/>
        </w:rPr>
      </w:pPr>
      <w:r w:rsidRPr="00CC4E81">
        <w:rPr>
          <w:rFonts w:ascii="Times New Roman" w:hAnsi="Times New Roman" w:cs="Times New Roman"/>
          <w:sz w:val="24"/>
          <w:szCs w:val="24"/>
          <w14:ligatures w14:val="standard"/>
        </w:rPr>
        <w:t xml:space="preserve">To address the limitations of the OLS model, we employed two primary spatial econometric models: Spatial Two-Stage Least Squares (S2SLS) and GM Spatially Weighted Least Squares (SWLS) (or HET model). The S2SLS method addresses potential endogeneity in the spatially lagged total violations dependent variable (β = -0.1684, p &lt; 0.001) and demonstrates a significant positive effect of the post-2019 policy (β = 0.47842, p &lt; 0.001). This suggests that while violations at nearby wells decrease the likelihood of violations at a given well, the policy change itself increases the number of violations. The SWLS model, used to correct for heteroskedasticity, provides robust standard errors and confirms the significance of the policy change with similar coefficients (Post 2019 Policy β = 0.47918, p &lt; 0.001). Both models highlight the importance of accounting for spatial dependencies and heteroskedasticity, which the OLS model does not capture. Additionally, the spatial error parameter lambda (λ = 0.58182, p &lt; 0.001) in the SWLS model indicates significant spatial autocorrelation, justifying spatial econometric techniques. In sum, the results from both spatial models indicate a significant and positive effect of the policy change on the number of violations (one aspect of administrative performance), as evidenced by the significant coefficients of the </w:t>
      </w:r>
      <w:r w:rsidR="008D2DAA" w:rsidRPr="00CC4E81">
        <w:rPr>
          <w:rFonts w:ascii="Times New Roman" w:hAnsi="Times New Roman" w:cs="Times New Roman"/>
          <w:sz w:val="24"/>
          <w:szCs w:val="24"/>
          <w14:ligatures w14:val="standard"/>
        </w:rPr>
        <w:t>p</w:t>
      </w:r>
      <w:r w:rsidRPr="00CC4E81">
        <w:rPr>
          <w:rFonts w:ascii="Times New Roman" w:hAnsi="Times New Roman" w:cs="Times New Roman"/>
          <w:sz w:val="24"/>
          <w:szCs w:val="24"/>
          <w14:ligatures w14:val="standard"/>
        </w:rPr>
        <w:t xml:space="preserve">ost 2019 </w:t>
      </w:r>
      <w:r w:rsidR="008D2DAA" w:rsidRPr="00CC4E81">
        <w:rPr>
          <w:rFonts w:ascii="Times New Roman" w:hAnsi="Times New Roman" w:cs="Times New Roman"/>
          <w:sz w:val="24"/>
          <w:szCs w:val="24"/>
          <w14:ligatures w14:val="standard"/>
        </w:rPr>
        <w:t>p</w:t>
      </w:r>
      <w:r w:rsidRPr="00CC4E81">
        <w:rPr>
          <w:rFonts w:ascii="Times New Roman" w:hAnsi="Times New Roman" w:cs="Times New Roman"/>
          <w:sz w:val="24"/>
          <w:szCs w:val="24"/>
          <w14:ligatures w14:val="standard"/>
        </w:rPr>
        <w:t>olicy variable.</w:t>
      </w:r>
    </w:p>
    <w:p w14:paraId="53C239E1" w14:textId="77777777" w:rsidR="00360F32" w:rsidRPr="00CC4E81" w:rsidRDefault="00360F32" w:rsidP="00360F32">
      <w:pPr>
        <w:spacing w:after="0" w:line="480" w:lineRule="auto"/>
        <w:rPr>
          <w:rFonts w:ascii="Times New Roman" w:hAnsi="Times New Roman" w:cs="Times New Roman"/>
          <w:sz w:val="24"/>
          <w:szCs w:val="24"/>
          <w14:ligatures w14:val="standard"/>
        </w:rPr>
      </w:pPr>
    </w:p>
    <w:p w14:paraId="164717A3" w14:textId="77777777" w:rsidR="00116947" w:rsidRPr="00CC4E81" w:rsidRDefault="00116947" w:rsidP="00360F32">
      <w:pPr>
        <w:spacing w:after="0" w:line="480" w:lineRule="auto"/>
        <w:rPr>
          <w:rFonts w:ascii="Times New Roman" w:hAnsi="Times New Roman" w:cs="Times New Roman"/>
          <w:sz w:val="24"/>
          <w:szCs w:val="24"/>
          <w14:ligatures w14:val="standard"/>
        </w:rPr>
      </w:pPr>
    </w:p>
    <w:p w14:paraId="15AB5079" w14:textId="054C5A46" w:rsidR="00360F32" w:rsidRPr="00CC4E81" w:rsidRDefault="00360F32" w:rsidP="00360F32">
      <w:pPr>
        <w:spacing w:after="0" w:line="480" w:lineRule="auto"/>
        <w:jc w:val="center"/>
        <w:rPr>
          <w:rFonts w:ascii="Times New Roman" w:hAnsi="Times New Roman" w:cs="Times New Roman"/>
          <w:sz w:val="24"/>
          <w:szCs w:val="24"/>
          <w14:ligatures w14:val="standard"/>
        </w:rPr>
      </w:pPr>
      <w:r w:rsidRPr="00CC4E81">
        <w:rPr>
          <w:rFonts w:ascii="Times New Roman" w:hAnsi="Times New Roman" w:cs="Times New Roman"/>
          <w:sz w:val="24"/>
          <w:szCs w:val="24"/>
          <w14:ligatures w14:val="standard"/>
        </w:rPr>
        <w:t>[TABLE 1 ABOUT HERE]</w:t>
      </w:r>
    </w:p>
    <w:p w14:paraId="59D9E770" w14:textId="77777777" w:rsidR="00500C0B" w:rsidRPr="00CC4E81" w:rsidRDefault="00500C0B">
      <w:pPr>
        <w:spacing w:after="0"/>
        <w:rPr>
          <w:rFonts w:ascii="Times New Roman" w:hAnsi="Times New Roman" w:cs="Times New Roman"/>
          <w:sz w:val="24"/>
          <w:szCs w:val="24"/>
          <w14:ligatures w14:val="standard"/>
        </w:rPr>
      </w:pPr>
    </w:p>
    <w:p w14:paraId="1DFEFDAA" w14:textId="77777777" w:rsidR="00116947" w:rsidRPr="00CC4E81" w:rsidRDefault="00116947">
      <w:pPr>
        <w:spacing w:after="0"/>
        <w:rPr>
          <w:rFonts w:ascii="Times New Roman" w:hAnsi="Times New Roman" w:cs="Times New Roman"/>
          <w:sz w:val="24"/>
          <w:szCs w:val="24"/>
          <w14:ligatures w14:val="standard"/>
        </w:rPr>
      </w:pPr>
    </w:p>
    <w:p w14:paraId="511668F1" w14:textId="77777777" w:rsidR="00360F32" w:rsidRPr="00CC4E81" w:rsidRDefault="00360F32">
      <w:pPr>
        <w:spacing w:after="0"/>
        <w:rPr>
          <w:rFonts w:ascii="Times New Roman" w:hAnsi="Times New Roman" w:cs="Times New Roman"/>
          <w:sz w:val="24"/>
          <w:szCs w:val="24"/>
          <w14:ligatures w14:val="standard"/>
        </w:rPr>
      </w:pPr>
    </w:p>
    <w:p w14:paraId="179091F3" w14:textId="14DCFA41" w:rsidR="00500C0B" w:rsidRPr="00CC4E81" w:rsidRDefault="00ED02EB">
      <w:pPr>
        <w:spacing w:after="0" w:line="480" w:lineRule="auto"/>
        <w:ind w:firstLine="720"/>
        <w:rPr>
          <w:rFonts w:ascii="Times New Roman" w:hAnsi="Times New Roman" w:cs="Times New Roman"/>
          <w:sz w:val="24"/>
          <w:szCs w:val="24"/>
          <w14:ligatures w14:val="standard"/>
        </w:rPr>
      </w:pPr>
      <w:r w:rsidRPr="00CC4E81">
        <w:rPr>
          <w:rFonts w:ascii="Times New Roman" w:hAnsi="Times New Roman" w:cs="Times New Roman"/>
          <w:sz w:val="24"/>
          <w:szCs w:val="24"/>
          <w14:ligatures w14:val="standard"/>
        </w:rPr>
        <w:t>Moving to a more fine-grained analysis of the impact</w:t>
      </w:r>
      <w:r w:rsidR="00E21B68" w:rsidRPr="00CC4E81">
        <w:rPr>
          <w:rFonts w:ascii="Times New Roman" w:hAnsi="Times New Roman" w:cs="Times New Roman"/>
          <w:sz w:val="24"/>
          <w:szCs w:val="24"/>
          <w14:ligatures w14:val="standard"/>
        </w:rPr>
        <w:t xml:space="preserve"> of the policy change</w:t>
      </w:r>
      <w:r w:rsidRPr="00CC4E81">
        <w:rPr>
          <w:rFonts w:ascii="Times New Roman" w:hAnsi="Times New Roman" w:cs="Times New Roman"/>
          <w:sz w:val="24"/>
          <w:szCs w:val="24"/>
          <w14:ligatures w14:val="standard"/>
        </w:rPr>
        <w:t xml:space="preserve">, we also present results for the specific types of enforcement actions as dependent variables. This allows </w:t>
      </w:r>
      <w:r w:rsidRPr="00CC4E81">
        <w:rPr>
          <w:rFonts w:ascii="Times New Roman" w:hAnsi="Times New Roman" w:cs="Times New Roman"/>
          <w:sz w:val="24"/>
          <w:szCs w:val="24"/>
          <w14:ligatures w14:val="standard"/>
        </w:rPr>
        <w:lastRenderedPageBreak/>
        <w:t>for a more detailed view of how different types of enforcement actions available to regulators were influenced by the 2019 policy change. Table 2 shows the total count for 2016 through 2023, the average monthly violations before and after 2019, and the percent change of these actions.</w:t>
      </w:r>
      <w:r w:rsidRPr="00CC4E81">
        <w:rPr>
          <w:rStyle w:val="FootnoteReference"/>
          <w:rFonts w:ascii="Times New Roman" w:hAnsi="Times New Roman" w:cs="Times New Roman"/>
          <w:sz w:val="24"/>
          <w:szCs w:val="24"/>
        </w:rPr>
        <w:footnoteReference w:id="1"/>
      </w:r>
      <w:r w:rsidRPr="00CC4E81">
        <w:rPr>
          <w:rFonts w:ascii="Times New Roman" w:hAnsi="Times New Roman" w:cs="Times New Roman"/>
          <w:sz w:val="24"/>
          <w:szCs w:val="24"/>
          <w14:ligatures w14:val="standard"/>
        </w:rPr>
        <w:t xml:space="preserve"> While the direct issues of orders and notices decrease over the period, referrals to state agencies increase. Continuing this approach enables us to distinguish between different regulatory responses, such as notices of violation, referrals for possible legal enforcement, and state-managed cleanup or plugging actions. </w:t>
      </w:r>
    </w:p>
    <w:p w14:paraId="1BCDBA1E" w14:textId="77777777" w:rsidR="002F4412" w:rsidRPr="00CC4E81" w:rsidRDefault="002F4412">
      <w:pPr>
        <w:spacing w:after="0" w:line="480" w:lineRule="auto"/>
        <w:ind w:firstLine="720"/>
        <w:rPr>
          <w:rFonts w:ascii="Times New Roman" w:hAnsi="Times New Roman" w:cs="Times New Roman"/>
          <w:sz w:val="24"/>
          <w:szCs w:val="24"/>
          <w14:ligatures w14:val="standard"/>
        </w:rPr>
      </w:pPr>
    </w:p>
    <w:p w14:paraId="42DA3BAF" w14:textId="77777777" w:rsidR="00116947" w:rsidRPr="00CC4E81" w:rsidRDefault="00116947">
      <w:pPr>
        <w:spacing w:after="0" w:line="480" w:lineRule="auto"/>
        <w:ind w:firstLine="720"/>
        <w:rPr>
          <w:rFonts w:ascii="Times New Roman" w:hAnsi="Times New Roman" w:cs="Times New Roman"/>
          <w:sz w:val="24"/>
          <w:szCs w:val="24"/>
          <w14:ligatures w14:val="standard"/>
        </w:rPr>
      </w:pPr>
    </w:p>
    <w:p w14:paraId="68CA6590" w14:textId="6863E178" w:rsidR="002F4412" w:rsidRPr="00CC4E81" w:rsidRDefault="002F4412" w:rsidP="002F4412">
      <w:pPr>
        <w:spacing w:after="0" w:line="480" w:lineRule="auto"/>
        <w:jc w:val="center"/>
        <w:rPr>
          <w:rFonts w:ascii="Times New Roman" w:hAnsi="Times New Roman" w:cs="Times New Roman"/>
          <w:sz w:val="24"/>
          <w:szCs w:val="24"/>
          <w14:ligatures w14:val="standard"/>
        </w:rPr>
      </w:pPr>
      <w:r w:rsidRPr="00CC4E81">
        <w:rPr>
          <w:rFonts w:ascii="Times New Roman" w:hAnsi="Times New Roman" w:cs="Times New Roman"/>
          <w:sz w:val="24"/>
          <w:szCs w:val="24"/>
          <w14:ligatures w14:val="standard"/>
        </w:rPr>
        <w:t>[TABLE 2 ABOUT HERE]</w:t>
      </w:r>
    </w:p>
    <w:p w14:paraId="7F0635D9" w14:textId="77777777" w:rsidR="002F4412" w:rsidRPr="00CC4E81" w:rsidRDefault="002F4412" w:rsidP="002F4412">
      <w:pPr>
        <w:spacing w:after="0" w:line="480" w:lineRule="auto"/>
        <w:jc w:val="center"/>
        <w:rPr>
          <w:rFonts w:ascii="Times New Roman" w:hAnsi="Times New Roman" w:cs="Times New Roman"/>
          <w:sz w:val="24"/>
          <w:szCs w:val="24"/>
          <w14:ligatures w14:val="standard"/>
        </w:rPr>
      </w:pPr>
    </w:p>
    <w:p w14:paraId="6341C29C" w14:textId="77777777" w:rsidR="00116947" w:rsidRPr="00CC4E81" w:rsidRDefault="00116947" w:rsidP="002F4412">
      <w:pPr>
        <w:spacing w:after="0" w:line="480" w:lineRule="auto"/>
        <w:jc w:val="center"/>
        <w:rPr>
          <w:rFonts w:ascii="Times New Roman" w:hAnsi="Times New Roman" w:cs="Times New Roman"/>
          <w:sz w:val="24"/>
          <w:szCs w:val="24"/>
          <w14:ligatures w14:val="standard"/>
        </w:rPr>
      </w:pPr>
    </w:p>
    <w:p w14:paraId="1BE8DC15" w14:textId="3642126E" w:rsidR="00500C0B" w:rsidRPr="00CC4E81" w:rsidRDefault="00ED02EB">
      <w:pPr>
        <w:spacing w:after="0" w:line="480" w:lineRule="auto"/>
        <w:rPr>
          <w:rFonts w:ascii="Times New Roman" w:hAnsi="Times New Roman" w:cs="Times New Roman"/>
          <w:sz w:val="24"/>
          <w:szCs w:val="24"/>
          <w14:ligatures w14:val="standard"/>
        </w:rPr>
      </w:pPr>
      <w:r w:rsidRPr="00CC4E81">
        <w:rPr>
          <w:rFonts w:ascii="Times New Roman" w:hAnsi="Times New Roman" w:cs="Times New Roman"/>
          <w:sz w:val="24"/>
          <w:szCs w:val="24"/>
          <w14:ligatures w14:val="standard"/>
        </w:rPr>
        <w:t xml:space="preserve"> </w:t>
      </w:r>
      <w:r w:rsidRPr="00CC4E81">
        <w:rPr>
          <w:rFonts w:ascii="Times New Roman" w:hAnsi="Times New Roman" w:cs="Times New Roman"/>
          <w:sz w:val="24"/>
          <w:szCs w:val="24"/>
          <w14:ligatures w14:val="standard"/>
        </w:rPr>
        <w:tab/>
        <w:t>We employed Poisson and Negative Binomial regression models for this analysis</w:t>
      </w:r>
      <w:r w:rsidR="008D2DAA" w:rsidRPr="00CC4E81">
        <w:rPr>
          <w:rFonts w:ascii="Times New Roman" w:hAnsi="Times New Roman" w:cs="Times New Roman"/>
          <w:sz w:val="24"/>
          <w:szCs w:val="24"/>
          <w14:ligatures w14:val="standard"/>
        </w:rPr>
        <w:t xml:space="preserve"> as the</w:t>
      </w:r>
      <w:r w:rsidRPr="00CC4E81">
        <w:rPr>
          <w:rFonts w:ascii="Times New Roman" w:hAnsi="Times New Roman" w:cs="Times New Roman"/>
          <w:sz w:val="24"/>
          <w:szCs w:val="24"/>
          <w14:ligatures w14:val="standard"/>
        </w:rPr>
        <w:t xml:space="preserve">  dependent variable </w:t>
      </w:r>
      <w:r w:rsidR="008D2DAA" w:rsidRPr="00CC4E81">
        <w:rPr>
          <w:rFonts w:ascii="Times New Roman" w:hAnsi="Times New Roman" w:cs="Times New Roman"/>
          <w:sz w:val="24"/>
          <w:szCs w:val="24"/>
          <w14:ligatures w14:val="standard"/>
        </w:rPr>
        <w:t xml:space="preserve">is </w:t>
      </w:r>
      <w:r w:rsidRPr="00CC4E81">
        <w:rPr>
          <w:rFonts w:ascii="Times New Roman" w:hAnsi="Times New Roman" w:cs="Times New Roman"/>
          <w:sz w:val="24"/>
          <w:szCs w:val="24"/>
          <w14:ligatures w14:val="standard"/>
        </w:rPr>
        <w:t>the number of times a discrete event</w:t>
      </w:r>
      <w:r w:rsidR="008D2DAA" w:rsidRPr="00CC4E81">
        <w:rPr>
          <w:rFonts w:ascii="Times New Roman" w:hAnsi="Times New Roman" w:cs="Times New Roman"/>
          <w:sz w:val="24"/>
          <w:szCs w:val="24"/>
          <w14:ligatures w14:val="standard"/>
        </w:rPr>
        <w:t xml:space="preserve"> (enforcement action)</w:t>
      </w:r>
      <w:r w:rsidRPr="00CC4E81">
        <w:rPr>
          <w:rFonts w:ascii="Times New Roman" w:hAnsi="Times New Roman" w:cs="Times New Roman"/>
          <w:sz w:val="24"/>
          <w:szCs w:val="24"/>
          <w14:ligatures w14:val="standard"/>
        </w:rPr>
        <w:t xml:space="preserve"> occurs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{"citationID":"46FI62Rr","properties":{"formattedCitation":"(King 1989)","plainCitation":"(King 1989)","noteIndex":0},"citationItems":[{"id":1762,"uris":["http://zotero.org/users/3682065/items/B57ZLIA5"],"itemData":{"id":1762,"type":"book","edition":"2011 Reprint","event-place":"Cambridge, New York","ISBN":"978-0-472-08554-5","language":"English","number-of-pages":"274","publisher":"Cambridge University Press","publisher-place":"Cambridge, New York","title":"Unifying Political Methodology: The Likelihood Theory of Statistical Inference","title-short":"Unifying political methodology","author":[{"family":"King","given":"Gary"}],"issued":{"date-parts":[["1989"]]}}}],"schema":"https://github.com/citation-style-language/schema/raw/master/csl-citation.json"}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(King 1989)</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14:ligatures w14:val="standard"/>
        </w:rPr>
        <w:t xml:space="preserve">. These models allow us to understand the rate at which these enforcement actions occur and how the 2019 policy change influences them. Poisson regression assumes that the mean and variance of the count data are equal, making it a robust choice for our initial analysis. However, given the potential for overdispersion, we also employed Negative Binomial regression, which introduces a dispersion parameter to handle overdispersion effectively </w:t>
      </w:r>
      <w:r w:rsidRPr="00CC4E81">
        <w:rPr>
          <w:rFonts w:ascii="Times New Roman" w:hAnsi="Times New Roman" w:cs="Times New Roman"/>
          <w:sz w:val="24"/>
          <w:szCs w:val="24"/>
        </w:rPr>
        <w:fldChar w:fldCharType="begin"/>
      </w:r>
      <w:r w:rsidR="003B0A34" w:rsidRPr="00CC4E81">
        <w:rPr>
          <w:rFonts w:ascii="Times New Roman" w:hAnsi="Times New Roman" w:cs="Times New Roman"/>
          <w:sz w:val="24"/>
          <w:szCs w:val="24"/>
        </w:rPr>
        <w:instrText xml:space="preserve"> ADDIN ZOTERO_ITEM CSL_CITATION {"citationID":"f185ORkt","properties":{"formattedCitation":"(King 1989)","plainCitation":"(King 1989)","noteIndex":0},"citationItems":[{"id":1762,"uris":["http://zotero.org/users/3682065/items/B57ZLIA5"],"itemData":{"id":1762,"type":"book","edition":"2011 Reprint","event-place":"Cambridge, New York","ISBN":"978-0-472-08554-5","language":"English","number-of-pages":"274","publisher":"Cambridge University Press","publisher-place":"Cambridge, New York","title":"Unifying Political Methodology: The Likelihood Theory of Statistical Inference","title-short":"Unifying political methodology","author":[{"family":"King","given":"Gary"}],"issued":{"date-parts":[["1989"]]}}}],"schema":"https://github.com/citation-style-language/schema/raw/master/csl-citation.json"} </w:instrText>
      </w:r>
      <w:r w:rsidRPr="00CC4E81">
        <w:rPr>
          <w:rFonts w:ascii="Times New Roman" w:hAnsi="Times New Roman" w:cs="Times New Roman"/>
          <w:sz w:val="24"/>
          <w:szCs w:val="24"/>
        </w:rPr>
        <w:fldChar w:fldCharType="separate"/>
      </w:r>
      <w:r w:rsidRPr="00CC4E81">
        <w:rPr>
          <w:rFonts w:ascii="Times New Roman" w:hAnsi="Times New Roman" w:cs="Times New Roman"/>
          <w:sz w:val="24"/>
          <w:szCs w:val="24"/>
        </w:rPr>
        <w:t>(King 1989)</w:t>
      </w:r>
      <w:r w:rsidRPr="00CC4E81">
        <w:rPr>
          <w:rFonts w:ascii="Times New Roman" w:hAnsi="Times New Roman" w:cs="Times New Roman"/>
          <w:sz w:val="24"/>
          <w:szCs w:val="24"/>
        </w:rPr>
        <w:fldChar w:fldCharType="end"/>
      </w:r>
      <w:r w:rsidRPr="00CC4E81">
        <w:rPr>
          <w:rFonts w:ascii="Times New Roman" w:hAnsi="Times New Roman" w:cs="Times New Roman"/>
          <w:sz w:val="24"/>
          <w:szCs w:val="24"/>
          <w14:ligatures w14:val="standard"/>
        </w:rPr>
        <w:t>.</w:t>
      </w:r>
    </w:p>
    <w:p w14:paraId="4F4FDD15" w14:textId="77777777" w:rsidR="00500C0B" w:rsidRPr="00CC4E81" w:rsidRDefault="00ED02EB">
      <w:pPr>
        <w:spacing w:after="0" w:line="480" w:lineRule="auto"/>
        <w:ind w:firstLine="720"/>
        <w:rPr>
          <w:rFonts w:ascii="Times New Roman" w:hAnsi="Times New Roman" w:cs="Times New Roman"/>
          <w:sz w:val="24"/>
          <w:szCs w:val="24"/>
          <w14:ligatures w14:val="standard"/>
        </w:rPr>
      </w:pPr>
      <w:r w:rsidRPr="00CC4E81">
        <w:rPr>
          <w:rFonts w:ascii="Times New Roman" w:hAnsi="Times New Roman" w:cs="Times New Roman"/>
          <w:sz w:val="24"/>
          <w:szCs w:val="24"/>
          <w14:ligatures w14:val="standard"/>
        </w:rPr>
        <w:t xml:space="preserve">Table 3 presents the Poisson and Negative Binomial regression results without and with spatial effects for the disaggregated violation enforcement action taken by regulators. For the </w:t>
      </w:r>
      <w:r w:rsidRPr="00CC4E81">
        <w:rPr>
          <w:rFonts w:ascii="Times New Roman" w:hAnsi="Times New Roman" w:cs="Times New Roman"/>
          <w:sz w:val="24"/>
          <w:szCs w:val="24"/>
          <w14:ligatures w14:val="standard"/>
        </w:rPr>
        <w:lastRenderedPageBreak/>
        <w:t>Poisson model without spatial effects, the constant term is positive and statistically significant (β = 0.3631, p &lt; 0.001), indicating a baseline level of violations. The variable for Notice of Violation has a negative and significant effect (β = -0.1665, p &lt; 0.001), suggesting that issuing a notice reduces the number of violations. When violations are referred to Austin Field Operations for possible legal enforcement, the number of violations increases significantly (β = 0.2514, p &lt; 0.001). Similarly, referrals to the State-Managed Cleanup Program and State-Managed Plugging also show significant positive effects on violations (β = 0.2899, p &lt; 0.001 and β = 0.1967, p &lt; 0.001, respectively). While the correction of a violation is positively associated with the number of violations, this effect is only marginally significant (β = 0.1278, p &lt; 0.01). The period following the 2019 policy change shows a significant increase in violations (β = 0.2864, p &lt; 0.001), indicating the policy’s impact on disclosure and enforcement practices.</w:t>
      </w:r>
    </w:p>
    <w:p w14:paraId="734599C3" w14:textId="77777777" w:rsidR="002F4412" w:rsidRPr="00CC4E81" w:rsidRDefault="002F4412" w:rsidP="002F4412">
      <w:pPr>
        <w:spacing w:after="0" w:line="480" w:lineRule="auto"/>
        <w:rPr>
          <w:rFonts w:ascii="Times New Roman" w:hAnsi="Times New Roman" w:cs="Times New Roman"/>
          <w:sz w:val="24"/>
          <w:szCs w:val="24"/>
          <w14:ligatures w14:val="standard"/>
        </w:rPr>
      </w:pPr>
    </w:p>
    <w:p w14:paraId="35157CA8" w14:textId="77777777" w:rsidR="00116947" w:rsidRPr="00CC4E81" w:rsidRDefault="00116947" w:rsidP="002F4412">
      <w:pPr>
        <w:spacing w:after="0" w:line="480" w:lineRule="auto"/>
        <w:rPr>
          <w:rFonts w:ascii="Times New Roman" w:hAnsi="Times New Roman" w:cs="Times New Roman"/>
          <w:sz w:val="24"/>
          <w:szCs w:val="24"/>
          <w14:ligatures w14:val="standard"/>
        </w:rPr>
      </w:pPr>
    </w:p>
    <w:p w14:paraId="444DBD98" w14:textId="63465F82" w:rsidR="002F4412" w:rsidRPr="00CC4E81" w:rsidRDefault="002F4412" w:rsidP="002F4412">
      <w:pPr>
        <w:spacing w:after="0" w:line="480" w:lineRule="auto"/>
        <w:jc w:val="center"/>
        <w:rPr>
          <w:rFonts w:ascii="Times New Roman" w:hAnsi="Times New Roman" w:cs="Times New Roman"/>
          <w:sz w:val="24"/>
          <w:szCs w:val="24"/>
          <w14:ligatures w14:val="standard"/>
        </w:rPr>
      </w:pPr>
      <w:r w:rsidRPr="00CC4E81">
        <w:rPr>
          <w:rFonts w:ascii="Times New Roman" w:hAnsi="Times New Roman" w:cs="Times New Roman"/>
          <w:sz w:val="24"/>
          <w:szCs w:val="24"/>
          <w14:ligatures w14:val="standard"/>
        </w:rPr>
        <w:t>[TABLE 3 ABOUT HERE]</w:t>
      </w:r>
    </w:p>
    <w:p w14:paraId="218EA31E" w14:textId="77777777" w:rsidR="00500C0B" w:rsidRPr="00CC4E81" w:rsidRDefault="00500C0B">
      <w:pPr>
        <w:pStyle w:val="BodyText"/>
        <w:spacing w:before="0" w:after="0" w:line="480" w:lineRule="auto"/>
        <w:ind w:firstLine="720"/>
        <w:rPr>
          <w:rFonts w:ascii="Times New Roman" w:hAnsi="Times New Roman" w:cs="Times New Roman"/>
          <w14:ligatures w14:val="standard"/>
        </w:rPr>
      </w:pPr>
    </w:p>
    <w:p w14:paraId="2B6F4522" w14:textId="77777777" w:rsidR="00116947" w:rsidRPr="00CC4E81" w:rsidRDefault="00116947">
      <w:pPr>
        <w:pStyle w:val="BodyText"/>
        <w:spacing w:before="0" w:after="0" w:line="480" w:lineRule="auto"/>
        <w:ind w:firstLine="720"/>
        <w:rPr>
          <w:rFonts w:ascii="Times New Roman" w:hAnsi="Times New Roman" w:cs="Times New Roman"/>
          <w14:ligatures w14:val="standard"/>
        </w:rPr>
      </w:pPr>
    </w:p>
    <w:p w14:paraId="7814694C" w14:textId="77777777" w:rsidR="00500C0B" w:rsidRPr="00CC4E81" w:rsidRDefault="00ED02EB">
      <w:pPr>
        <w:pStyle w:val="BodyText"/>
        <w:spacing w:before="0" w:after="0" w:line="480" w:lineRule="auto"/>
        <w:ind w:firstLine="720"/>
        <w:rPr>
          <w:rFonts w:ascii="Times New Roman" w:hAnsi="Times New Roman" w:cs="Times New Roman"/>
          <w14:ligatures w14:val="standard"/>
        </w:rPr>
      </w:pPr>
      <w:r w:rsidRPr="00CC4E81">
        <w:rPr>
          <w:rFonts w:ascii="Times New Roman" w:hAnsi="Times New Roman" w:cs="Times New Roman"/>
          <w14:ligatures w14:val="standard"/>
        </w:rPr>
        <w:t xml:space="preserve">When spatial effects are considered, the constant term becomes negative and significant (β = -0.1095, p &lt; 0.001), likely adjusting for spatial dependencies. The negative effect of Notice of Violation remains significant (β = -0.1322, p &lt; 0.001), consistent with the non-spatial model. The positive effect of referrals to Austin Field Ops for possible legal enforcement decreases but remains significant (β = 0.1108, p &lt; 0.001). Similarly, the positive effect of referrals to the State-Managed Cleanup Program is slightly reduced (β = 0.1460, p &lt; 0.01). Still, it remains significant, as does the effect of State-Managed Plugging (β = 0.0875, p &lt; 0.001), although it is diminished. </w:t>
      </w:r>
      <w:r w:rsidRPr="00CC4E81">
        <w:rPr>
          <w:rFonts w:ascii="Times New Roman" w:hAnsi="Times New Roman" w:cs="Times New Roman"/>
          <w14:ligatures w14:val="standard"/>
        </w:rPr>
        <w:lastRenderedPageBreak/>
        <w:t>The effect of violation correction becomes statistically insignificant (β = 0.0608), indicating that spatial factors may explain this variation. The impact of the 2019 policy change remains significant and positive (β = 0.2438, p &lt; 0.001), reinforcing the findings of increased violations post-policy. Additionally, including a spatial lag term (β = 0.2885, p &lt; 0.001) underscores the importance of spatial dependencies in violation counts.</w:t>
      </w:r>
    </w:p>
    <w:p w14:paraId="421879AD" w14:textId="6650797D" w:rsidR="00500C0B" w:rsidRPr="00CC4E81" w:rsidRDefault="00ED02EB">
      <w:pPr>
        <w:pStyle w:val="BodyText"/>
        <w:spacing w:before="0" w:after="0" w:line="480" w:lineRule="auto"/>
        <w:ind w:firstLine="720"/>
        <w:rPr>
          <w:rFonts w:ascii="Times New Roman" w:hAnsi="Times New Roman" w:cs="Times New Roman"/>
          <w14:ligatures w14:val="standard"/>
        </w:rPr>
      </w:pPr>
      <w:r w:rsidRPr="00CC4E81">
        <w:rPr>
          <w:rFonts w:ascii="Times New Roman" w:hAnsi="Times New Roman" w:cs="Times New Roman"/>
          <w14:ligatures w14:val="standard"/>
        </w:rPr>
        <w:t xml:space="preserve">We also turned to count models to test </w:t>
      </w:r>
      <w:r w:rsidR="003B25CC" w:rsidRPr="00CC4E81">
        <w:rPr>
          <w:rFonts w:ascii="Times New Roman" w:hAnsi="Times New Roman" w:cs="Times New Roman"/>
          <w14:ligatures w14:val="standard"/>
        </w:rPr>
        <w:t>Hypothes</w:t>
      </w:r>
      <w:r w:rsidR="00873479" w:rsidRPr="00CC4E81">
        <w:rPr>
          <w:rFonts w:ascii="Times New Roman" w:hAnsi="Times New Roman" w:cs="Times New Roman"/>
          <w14:ligatures w14:val="standard"/>
        </w:rPr>
        <w:t>is 2</w:t>
      </w:r>
      <w:r w:rsidRPr="00CC4E81">
        <w:rPr>
          <w:rFonts w:ascii="Times New Roman" w:hAnsi="Times New Roman" w:cs="Times New Roman"/>
          <w14:ligatures w14:val="standard"/>
        </w:rPr>
        <w:t>. We first aggregated the data to create monthly counts of each enforcement action per well, distinguishing between periods before and after the 2019 policy change. We then checked for overdispersion by comparing the mean and variance of the counts for each action. If overdispersion was present, we used a Negative Binomial model; otherwise, we used a Poisson model. Table 4 summarizes these results.</w:t>
      </w:r>
    </w:p>
    <w:p w14:paraId="4B46FC38" w14:textId="77777777" w:rsidR="00116947" w:rsidRPr="00CC4E81" w:rsidRDefault="00116947">
      <w:pPr>
        <w:pStyle w:val="BodyText"/>
        <w:spacing w:before="0" w:after="0" w:line="480" w:lineRule="auto"/>
        <w:ind w:firstLine="720"/>
        <w:rPr>
          <w:rFonts w:ascii="Times New Roman" w:hAnsi="Times New Roman" w:cs="Times New Roman"/>
          <w14:ligatures w14:val="standard"/>
        </w:rPr>
      </w:pPr>
    </w:p>
    <w:p w14:paraId="54189463" w14:textId="77777777" w:rsidR="00116947" w:rsidRPr="00CC4E81" w:rsidRDefault="00116947">
      <w:pPr>
        <w:pStyle w:val="BodyText"/>
        <w:spacing w:before="0" w:after="0" w:line="480" w:lineRule="auto"/>
        <w:ind w:firstLine="720"/>
        <w:rPr>
          <w:rFonts w:ascii="Times New Roman" w:hAnsi="Times New Roman" w:cs="Times New Roman"/>
          <w14:ligatures w14:val="standard"/>
        </w:rPr>
      </w:pPr>
    </w:p>
    <w:p w14:paraId="1DD31540" w14:textId="7A27BAF7" w:rsidR="00116947" w:rsidRPr="00CC4E81" w:rsidRDefault="00116947" w:rsidP="00116947">
      <w:pPr>
        <w:pStyle w:val="BodyText"/>
        <w:spacing w:before="0" w:after="0" w:line="480" w:lineRule="auto"/>
        <w:ind w:firstLine="720"/>
        <w:jc w:val="center"/>
        <w:rPr>
          <w:rFonts w:ascii="Times New Roman" w:hAnsi="Times New Roman" w:cs="Times New Roman"/>
          <w14:ligatures w14:val="standard"/>
        </w:rPr>
      </w:pPr>
      <w:r w:rsidRPr="00CC4E81">
        <w:rPr>
          <w:rFonts w:ascii="Times New Roman" w:hAnsi="Times New Roman" w:cs="Times New Roman"/>
          <w14:ligatures w14:val="standard"/>
        </w:rPr>
        <w:t>[TABLE 4 ABOUT HERE]</w:t>
      </w:r>
    </w:p>
    <w:p w14:paraId="72024616" w14:textId="77777777" w:rsidR="00116947" w:rsidRPr="00CC4E81" w:rsidRDefault="00116947">
      <w:pPr>
        <w:pStyle w:val="BodyText"/>
        <w:spacing w:before="0" w:after="0" w:line="480" w:lineRule="auto"/>
        <w:ind w:firstLine="720"/>
        <w:rPr>
          <w:rFonts w:ascii="Times New Roman" w:hAnsi="Times New Roman" w:cs="Times New Roman"/>
          <w14:ligatures w14:val="standard"/>
        </w:rPr>
      </w:pPr>
    </w:p>
    <w:p w14:paraId="2BD25455" w14:textId="77777777" w:rsidR="00116947" w:rsidRPr="00CC4E81" w:rsidRDefault="00116947">
      <w:pPr>
        <w:pStyle w:val="BodyText"/>
        <w:spacing w:before="0" w:after="0" w:line="480" w:lineRule="auto"/>
        <w:ind w:firstLine="720"/>
        <w:rPr>
          <w:rFonts w:ascii="Times New Roman" w:hAnsi="Times New Roman" w:cs="Times New Roman"/>
          <w14:ligatures w14:val="standard"/>
        </w:rPr>
      </w:pPr>
    </w:p>
    <w:p w14:paraId="675AEF33" w14:textId="1655BB61" w:rsidR="00500C0B" w:rsidRPr="00CC4E81" w:rsidRDefault="00ED02EB">
      <w:pPr>
        <w:pStyle w:val="BodyText"/>
        <w:spacing w:before="0" w:after="0" w:line="480" w:lineRule="auto"/>
        <w:ind w:firstLine="720"/>
        <w:rPr>
          <w:rFonts w:ascii="Times New Roman" w:eastAsia="Garamond" w:hAnsi="Times New Roman" w:cs="Times New Roman"/>
          <w:iCs/>
          <w14:ligatures w14:val="standard"/>
        </w:rPr>
      </w:pPr>
      <w:r w:rsidRPr="00CC4E81">
        <w:rPr>
          <w:rFonts w:ascii="Times New Roman" w:hAnsi="Times New Roman" w:cs="Times New Roman"/>
          <w14:ligatures w14:val="standard"/>
        </w:rPr>
        <w:t>These results from the Negative Binomial regression models provide further insight into the impact of the 2019 policy change on specific enforcement actions. The significant negative coefficient for Issuing a Severance/Seal Order (β = -0.9015, p &lt; 0.001) indicates a decrease in such orders post-</w:t>
      </w:r>
      <w:r w:rsidR="007C6D7C" w:rsidRPr="00CC4E81">
        <w:rPr>
          <w:rFonts w:ascii="Times New Roman" w:hAnsi="Times New Roman" w:cs="Times New Roman"/>
          <w14:ligatures w14:val="standard"/>
        </w:rPr>
        <w:t>2019</w:t>
      </w:r>
      <w:r w:rsidRPr="00CC4E81">
        <w:rPr>
          <w:rFonts w:ascii="Times New Roman" w:hAnsi="Times New Roman" w:cs="Times New Roman"/>
          <w14:ligatures w14:val="standard"/>
        </w:rPr>
        <w:t xml:space="preserve">. The significant negative coefficient for Notice of Violation (β = -0.0365, p &lt; 0.001) suggests a slight reduction in these notices. In contrast, significant positive coefficients for Referred to Austin Field Ops for Legal Enforcement (β = 0.4453, p &lt; 0.001) and Referred to State-Managed Plugging (β = 0.1347, p &lt; 0.001) indicate increases in these </w:t>
      </w:r>
      <w:r w:rsidRPr="00CC4E81">
        <w:rPr>
          <w:rFonts w:ascii="Times New Roman" w:hAnsi="Times New Roman" w:cs="Times New Roman"/>
          <w14:ligatures w14:val="standard"/>
        </w:rPr>
        <w:lastRenderedPageBreak/>
        <w:t xml:space="preserve">enforcement actions post-policy. The non-significant results for Violation Corrected (β = -26.6349, p = 0.998) and Referred to State-Managed Cleanup Program (β = 0.0233, p = 0.824) suggest that the policy change did not significantly affect these actions. </w:t>
      </w:r>
      <w:r w:rsidRPr="00CC4E81">
        <w:rPr>
          <w:rFonts w:ascii="Times New Roman" w:eastAsia="Garamond" w:hAnsi="Times New Roman" w:cs="Times New Roman"/>
          <w:iCs/>
          <w14:ligatures w14:val="standard"/>
        </w:rPr>
        <w:t>These results from the Poisson and Negative Binomial regression models, particularly with spatial effects, provide further evidence of the significant influence of the 2019 policy change on the number of violations</w:t>
      </w:r>
      <w:r w:rsidR="007C6D7C" w:rsidRPr="00CC4E81">
        <w:rPr>
          <w:rFonts w:ascii="Times New Roman" w:eastAsia="Garamond" w:hAnsi="Times New Roman" w:cs="Times New Roman"/>
          <w:iCs/>
          <w14:ligatures w14:val="standard"/>
        </w:rPr>
        <w:t xml:space="preserve"> and use of specific enforcement actions.</w:t>
      </w:r>
    </w:p>
    <w:p w14:paraId="269754AA" w14:textId="70752A84" w:rsidR="00500C0B" w:rsidRPr="00CC4E81" w:rsidRDefault="00ED02EB">
      <w:pPr>
        <w:pStyle w:val="BodyText"/>
        <w:spacing w:before="0" w:after="0" w:line="480" w:lineRule="auto"/>
        <w:ind w:firstLine="720"/>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 xml:space="preserve">To understand the potential spatial factors that impact different types of actions, we </w:t>
      </w:r>
      <w:r w:rsidR="007C6D7C" w:rsidRPr="00CC4E81">
        <w:rPr>
          <w:rFonts w:ascii="Times New Roman" w:eastAsia="Garamond" w:hAnsi="Times New Roman" w:cs="Times New Roman"/>
          <w:iCs/>
          <w14:ligatures w14:val="standard"/>
        </w:rPr>
        <w:t xml:space="preserve">then </w:t>
      </w:r>
      <w:r w:rsidRPr="00CC4E81">
        <w:rPr>
          <w:rFonts w:ascii="Times New Roman" w:eastAsia="Garamond" w:hAnsi="Times New Roman" w:cs="Times New Roman"/>
          <w:iCs/>
          <w14:ligatures w14:val="standard"/>
        </w:rPr>
        <w:t>utilize</w:t>
      </w:r>
      <w:r w:rsidR="007C6D7C" w:rsidRPr="00CC4E81">
        <w:rPr>
          <w:rFonts w:ascii="Times New Roman" w:eastAsia="Garamond" w:hAnsi="Times New Roman" w:cs="Times New Roman"/>
          <w:iCs/>
          <w14:ligatures w14:val="standard"/>
        </w:rPr>
        <w:t>d</w:t>
      </w:r>
      <w:r w:rsidRPr="00CC4E81">
        <w:rPr>
          <w:rFonts w:ascii="Times New Roman" w:eastAsia="Garamond" w:hAnsi="Times New Roman" w:cs="Times New Roman"/>
          <w:iCs/>
          <w14:ligatures w14:val="standard"/>
        </w:rPr>
        <w:t xml:space="preserve"> the Generalized Method of Moments (GM_Lag) and Poisson regression models in a similar fashion as above. Table 4 summarizes these results, including coefficients for both spatial lag and policy change variables while using monthly averages of the action. For enforcement actions where the models could not be fitted due to insufficient data (Referred to State-Managed Plugging and Referred to State-Managed Cleanup Program), we denote the results with a “-” as shown in Table 5. For the issuance of severance/seal orders following the 2019 policy change, the GM_Lag model results show a significant negative coefficient for the policy change variable (β = -0.00719, p &lt; 0.001), indicating a decrease in the issuance of orders. While extremely small and negative, the spatial lag coefficient highlights the potential influence of neighboring enforcement actions, though its practical significance may be limited.</w:t>
      </w:r>
    </w:p>
    <w:p w14:paraId="3AF3E3E8" w14:textId="77777777" w:rsidR="00116947" w:rsidRPr="00CC4E81" w:rsidRDefault="00116947" w:rsidP="00116947">
      <w:pPr>
        <w:pStyle w:val="BodyText"/>
        <w:spacing w:before="0" w:after="0" w:line="480" w:lineRule="auto"/>
        <w:rPr>
          <w:rFonts w:ascii="Times New Roman" w:eastAsia="Garamond" w:hAnsi="Times New Roman" w:cs="Times New Roman"/>
          <w:iCs/>
          <w14:ligatures w14:val="standard"/>
        </w:rPr>
      </w:pPr>
    </w:p>
    <w:p w14:paraId="22B8EED7" w14:textId="77777777" w:rsidR="00116947" w:rsidRPr="00CC4E81" w:rsidRDefault="00116947" w:rsidP="00116947">
      <w:pPr>
        <w:pStyle w:val="BodyText"/>
        <w:spacing w:before="0" w:after="0" w:line="480" w:lineRule="auto"/>
        <w:rPr>
          <w:rFonts w:ascii="Times New Roman" w:eastAsia="Garamond" w:hAnsi="Times New Roman" w:cs="Times New Roman"/>
          <w:iCs/>
          <w14:ligatures w14:val="standard"/>
        </w:rPr>
      </w:pPr>
    </w:p>
    <w:p w14:paraId="1A8CA5C7" w14:textId="77777777" w:rsidR="00116947" w:rsidRPr="00CC4E81" w:rsidRDefault="00116947" w:rsidP="00116947">
      <w:pPr>
        <w:pStyle w:val="BodyText"/>
        <w:spacing w:before="0" w:after="0" w:line="480" w:lineRule="auto"/>
        <w:rPr>
          <w:rFonts w:ascii="Times New Roman" w:eastAsia="Garamond" w:hAnsi="Times New Roman" w:cs="Times New Roman"/>
          <w:iCs/>
          <w14:ligatures w14:val="standard"/>
        </w:rPr>
      </w:pPr>
    </w:p>
    <w:p w14:paraId="07C595C6" w14:textId="23DB9BC7" w:rsidR="00116947" w:rsidRPr="00CC4E81" w:rsidRDefault="00116947" w:rsidP="00116947">
      <w:pPr>
        <w:pStyle w:val="BodyText"/>
        <w:spacing w:before="0" w:after="0" w:line="480" w:lineRule="auto"/>
        <w:jc w:val="center"/>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[TABLE 5 ABOUT HERE]</w:t>
      </w:r>
    </w:p>
    <w:p w14:paraId="0CAE5F96" w14:textId="77777777" w:rsidR="00500C0B" w:rsidRPr="00CC4E81" w:rsidRDefault="00500C0B">
      <w:pPr>
        <w:spacing w:after="0"/>
        <w:rPr>
          <w:rFonts w:ascii="Times New Roman" w:hAnsi="Times New Roman" w:cs="Times New Roman"/>
          <w:sz w:val="24"/>
          <w:szCs w:val="24"/>
          <w14:ligatures w14:val="standard"/>
        </w:rPr>
      </w:pPr>
    </w:p>
    <w:p w14:paraId="02760059" w14:textId="77777777" w:rsidR="00116947" w:rsidRPr="00CC4E81" w:rsidRDefault="00116947">
      <w:pPr>
        <w:spacing w:after="0"/>
        <w:rPr>
          <w:rFonts w:ascii="Times New Roman" w:hAnsi="Times New Roman" w:cs="Times New Roman"/>
          <w:sz w:val="24"/>
          <w:szCs w:val="24"/>
          <w14:ligatures w14:val="standard"/>
        </w:rPr>
      </w:pPr>
    </w:p>
    <w:p w14:paraId="166A8945" w14:textId="77777777" w:rsidR="00116947" w:rsidRPr="00CC4E81" w:rsidRDefault="00116947">
      <w:pPr>
        <w:spacing w:after="0"/>
        <w:rPr>
          <w:rFonts w:ascii="Times New Roman" w:hAnsi="Times New Roman" w:cs="Times New Roman"/>
          <w:sz w:val="24"/>
          <w:szCs w:val="24"/>
          <w14:ligatures w14:val="standard"/>
        </w:rPr>
      </w:pPr>
    </w:p>
    <w:p w14:paraId="33E51DCC" w14:textId="77777777" w:rsidR="00116947" w:rsidRPr="00CC4E81" w:rsidRDefault="00116947">
      <w:pPr>
        <w:spacing w:after="0"/>
        <w:rPr>
          <w:rFonts w:ascii="Times New Roman" w:hAnsi="Times New Roman" w:cs="Times New Roman"/>
          <w:sz w:val="24"/>
          <w:szCs w:val="24"/>
          <w14:ligatures w14:val="standard"/>
        </w:rPr>
      </w:pPr>
    </w:p>
    <w:p w14:paraId="1895B16C" w14:textId="77777777" w:rsidR="00500C0B" w:rsidRPr="00CC4E81" w:rsidRDefault="00ED02EB">
      <w:pPr>
        <w:pStyle w:val="BodyText"/>
        <w:spacing w:before="0" w:after="0" w:line="480" w:lineRule="auto"/>
        <w:ind w:firstLine="720"/>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lastRenderedPageBreak/>
        <w:t>The Poisson regression model results for Notice of Violation indicate a significant positive coefficient for the spatial lag variable (β = 0.357, p &lt; 0.001) and the policy change variable (β = 0.218, p &lt; 0.001). This suggests that the 2019 policy change and the actions in neighboring locations both contributed to an increase in the number of notices of violation issued. The GM_Lag model for referrals to Austin Field Ops for possible legal enforcement shows a significant positive coefficient for the policy change variable (β = 0.0713, p &lt; 0.001) and a positive spatial lag coefficient (β = 0.0277). This indicates that the policy change led to an increase in these referrals, and actions in neighboring locations also influenced this enforcement action. Finally, the GM_Lag model for referrals to Austin Field Ops for possible legal enforcement shows a significant positive coefficient for the policy change variable (β = 0.0713, p &lt; 0.001) and a positive spatial lag coefficient (β = 0.0277). This indicates that the policy change led to an increase in these referrals, and actions in neighboring locations also influenced this enforcement action.</w:t>
      </w:r>
    </w:p>
    <w:p w14:paraId="41C42AFD" w14:textId="77777777" w:rsidR="00500C0B" w:rsidRPr="00CC4E81" w:rsidRDefault="00ED02EB">
      <w:pPr>
        <w:pStyle w:val="BodyText"/>
        <w:spacing w:before="0" w:after="0" w:line="480" w:lineRule="auto"/>
        <w:rPr>
          <w:rFonts w:ascii="Times New Roman" w:eastAsia="Garamond" w:hAnsi="Times New Roman" w:cs="Times New Roman"/>
          <w:iCs/>
          <w14:ligatures w14:val="standard"/>
        </w:rPr>
      </w:pPr>
      <w:r w:rsidRPr="00CC4E81">
        <w:rPr>
          <w:rFonts w:ascii="Times New Roman" w:eastAsia="Garamond" w:hAnsi="Times New Roman" w:cs="Times New Roman"/>
          <w:i/>
          <w14:ligatures w14:val="standard"/>
        </w:rPr>
        <w:t>The Regulatory Pipeline in Practice</w:t>
      </w:r>
    </w:p>
    <w:p w14:paraId="1DB212F0" w14:textId="6F304E4B" w:rsidR="00500C0B" w:rsidRPr="00CC4E81" w:rsidRDefault="00ED02EB">
      <w:pPr>
        <w:pStyle w:val="BodyText"/>
        <w:spacing w:before="0" w:after="0" w:line="480" w:lineRule="auto"/>
        <w:ind w:firstLine="720"/>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 xml:space="preserve">Our primary analysis </w:t>
      </w:r>
      <w:r w:rsidR="00555981" w:rsidRPr="00CC4E81">
        <w:rPr>
          <w:rFonts w:ascii="Times New Roman" w:eastAsia="Garamond" w:hAnsi="Times New Roman" w:cs="Times New Roman"/>
          <w:iCs/>
          <w14:ligatures w14:val="standard"/>
        </w:rPr>
        <w:t>concerns</w:t>
      </w:r>
      <w:r w:rsidRPr="00CC4E81">
        <w:rPr>
          <w:rFonts w:ascii="Times New Roman" w:eastAsia="Garamond" w:hAnsi="Times New Roman" w:cs="Times New Roman"/>
          <w:iCs/>
          <w14:ligatures w14:val="standard"/>
        </w:rPr>
        <w:t xml:space="preserve"> the impact of the 2019 disclosure policy</w:t>
      </w:r>
      <w:r w:rsidR="00555981" w:rsidRPr="00CC4E81">
        <w:rPr>
          <w:rFonts w:ascii="Times New Roman" w:eastAsia="Garamond" w:hAnsi="Times New Roman" w:cs="Times New Roman"/>
          <w:iCs/>
          <w14:ligatures w14:val="standard"/>
        </w:rPr>
        <w:t xml:space="preserve"> change</w:t>
      </w:r>
      <w:r w:rsidRPr="00CC4E81">
        <w:rPr>
          <w:rFonts w:ascii="Times New Roman" w:eastAsia="Garamond" w:hAnsi="Times New Roman" w:cs="Times New Roman"/>
          <w:iCs/>
          <w14:ligatures w14:val="standard"/>
        </w:rPr>
        <w:t xml:space="preserve"> with an eye toward its impact on the full regulatory pipeline</w:t>
      </w:r>
      <w:r w:rsidR="00555981" w:rsidRPr="00CC4E81">
        <w:rPr>
          <w:rFonts w:ascii="Times New Roman" w:eastAsia="Garamond" w:hAnsi="Times New Roman" w:cs="Times New Roman"/>
          <w:iCs/>
          <w14:ligatures w14:val="standard"/>
        </w:rPr>
        <w:t xml:space="preserve">, i.e., </w:t>
      </w:r>
      <w:r w:rsidRPr="00CC4E81">
        <w:rPr>
          <w:rFonts w:ascii="Times New Roman" w:eastAsia="Garamond" w:hAnsi="Times New Roman" w:cs="Times New Roman"/>
          <w:iCs/>
          <w14:ligatures w14:val="standard"/>
        </w:rPr>
        <w:t xml:space="preserve">from inspection through violation to enforcement. This pipeline represents the implementation of Texas’ regulatory regime and reveals important patterns in administrative performance. </w:t>
      </w:r>
      <w:r w:rsidR="00555981" w:rsidRPr="00CC4E81">
        <w:rPr>
          <w:rFonts w:ascii="Times New Roman" w:eastAsia="Garamond" w:hAnsi="Times New Roman" w:cs="Times New Roman"/>
          <w:iCs/>
          <w14:ligatures w14:val="standard"/>
        </w:rPr>
        <w:t>The pipeline</w:t>
      </w:r>
      <w:r w:rsidR="002B434B" w:rsidRPr="00CC4E81">
        <w:rPr>
          <w:rFonts w:ascii="Times New Roman" w:eastAsia="Garamond" w:hAnsi="Times New Roman" w:cs="Times New Roman"/>
          <w:iCs/>
          <w14:ligatures w14:val="standard"/>
        </w:rPr>
        <w:t xml:space="preserve"> </w:t>
      </w:r>
      <w:r w:rsidRPr="00CC4E81">
        <w:rPr>
          <w:rFonts w:ascii="Times New Roman" w:eastAsia="Garamond" w:hAnsi="Times New Roman" w:cs="Times New Roman"/>
          <w:iCs/>
          <w14:ligatures w14:val="standard"/>
        </w:rPr>
        <w:t xml:space="preserve">begins with inspections. Between 2016 and 2023, the RRC conducted 1.89 million inspections across 476,150 wells, representing approximately 40% of Texas's 1.18 million wells. This baseline coverage helps contextualize both the scope of regulatory oversight and the potential impact of increased disclosure. The inspection process identified 1.09 million violations (57.8% of inspections), though these violations were concentrated among 91,701 wells (19.3% of inspected wells). </w:t>
      </w:r>
      <w:r w:rsidR="00555981" w:rsidRPr="00CC4E81">
        <w:rPr>
          <w:rFonts w:ascii="Times New Roman" w:eastAsia="Garamond" w:hAnsi="Times New Roman" w:cs="Times New Roman"/>
          <w:iCs/>
          <w14:ligatures w14:val="standard"/>
        </w:rPr>
        <w:lastRenderedPageBreak/>
        <w:t>Results</w:t>
      </w:r>
      <w:r w:rsidRPr="00CC4E81">
        <w:rPr>
          <w:rFonts w:ascii="Times New Roman" w:eastAsia="Garamond" w:hAnsi="Times New Roman" w:cs="Times New Roman"/>
          <w:iCs/>
          <w14:ligatures w14:val="standard"/>
        </w:rPr>
        <w:t xml:space="preserve"> suggest that while violations are common when discovered, they tend to occur repeatedly at </w:t>
      </w:r>
      <w:r w:rsidR="008D2DAA" w:rsidRPr="00CC4E81">
        <w:rPr>
          <w:rFonts w:ascii="Times New Roman" w:eastAsia="Garamond" w:hAnsi="Times New Roman" w:cs="Times New Roman"/>
          <w:iCs/>
          <w14:ligatures w14:val="standard"/>
        </w:rPr>
        <w:t>sites</w:t>
      </w:r>
      <w:r w:rsidRPr="00CC4E81">
        <w:rPr>
          <w:rFonts w:ascii="Times New Roman" w:eastAsia="Garamond" w:hAnsi="Times New Roman" w:cs="Times New Roman"/>
          <w:iCs/>
          <w14:ligatures w14:val="standard"/>
        </w:rPr>
        <w:t xml:space="preserve"> rather than being evenly distributed across all inspected wells.</w:t>
      </w:r>
    </w:p>
    <w:p w14:paraId="538D51A9" w14:textId="6D86B371" w:rsidR="00500C0B" w:rsidRPr="00CC4E81" w:rsidRDefault="00ED02EB">
      <w:pPr>
        <w:pStyle w:val="BodyText"/>
        <w:spacing w:before="0" w:after="0" w:line="480" w:lineRule="auto"/>
        <w:ind w:firstLine="720"/>
        <w:rPr>
          <w:rFonts w:ascii="Times New Roman" w:eastAsia="Times New Roman" w:hAnsi="Times New Roman" w:cs="Times New Roman"/>
        </w:rPr>
      </w:pPr>
      <w:r w:rsidRPr="00CC4E81">
        <w:rPr>
          <w:rFonts w:ascii="Times New Roman" w:eastAsia="Garamond" w:hAnsi="Times New Roman" w:cs="Times New Roman"/>
          <w:iCs/>
          <w14:ligatures w14:val="standard"/>
        </w:rPr>
        <w:t xml:space="preserve">The enforcement stage of the pipeline </w:t>
      </w:r>
      <w:r w:rsidR="00555981" w:rsidRPr="00CC4E81">
        <w:rPr>
          <w:rFonts w:ascii="Times New Roman" w:eastAsia="Garamond" w:hAnsi="Times New Roman" w:cs="Times New Roman"/>
          <w:iCs/>
          <w14:ligatures w14:val="standard"/>
        </w:rPr>
        <w:t xml:space="preserve">also </w:t>
      </w:r>
      <w:r w:rsidRPr="00CC4E81">
        <w:rPr>
          <w:rFonts w:ascii="Times New Roman" w:eastAsia="Garamond" w:hAnsi="Times New Roman" w:cs="Times New Roman"/>
          <w:iCs/>
          <w14:ligatures w14:val="standard"/>
        </w:rPr>
        <w:t xml:space="preserve">reveals distinct patterns in administrative </w:t>
      </w:r>
      <w:r w:rsidR="00555981" w:rsidRPr="00CC4E81">
        <w:rPr>
          <w:rFonts w:ascii="Times New Roman" w:eastAsia="Garamond" w:hAnsi="Times New Roman" w:cs="Times New Roman"/>
          <w:iCs/>
          <w14:ligatures w14:val="standard"/>
        </w:rPr>
        <w:t>performance</w:t>
      </w:r>
      <w:r w:rsidRPr="00CC4E81">
        <w:rPr>
          <w:rFonts w:ascii="Times New Roman" w:eastAsia="Garamond" w:hAnsi="Times New Roman" w:cs="Times New Roman"/>
          <w:iCs/>
          <w14:ligatures w14:val="standard"/>
        </w:rPr>
        <w:t xml:space="preserve">. The RRC employs a range of enforcement mechanisms, from simple notices to more </w:t>
      </w:r>
      <w:r w:rsidR="00555981" w:rsidRPr="00CC4E81">
        <w:rPr>
          <w:rFonts w:ascii="Times New Roman" w:eastAsia="Garamond" w:hAnsi="Times New Roman" w:cs="Times New Roman"/>
          <w:iCs/>
          <w14:ligatures w14:val="standard"/>
        </w:rPr>
        <w:t>coercive</w:t>
      </w:r>
      <w:r w:rsidRPr="00CC4E81">
        <w:rPr>
          <w:rFonts w:ascii="Times New Roman" w:eastAsia="Garamond" w:hAnsi="Times New Roman" w:cs="Times New Roman"/>
          <w:iCs/>
          <w14:ligatures w14:val="standard"/>
        </w:rPr>
        <w:t xml:space="preserve"> actions</w:t>
      </w:r>
      <w:r w:rsidR="00555981" w:rsidRPr="00CC4E81">
        <w:rPr>
          <w:rFonts w:ascii="Times New Roman" w:eastAsia="Garamond" w:hAnsi="Times New Roman" w:cs="Times New Roman"/>
          <w:iCs/>
          <w14:ligatures w14:val="standard"/>
        </w:rPr>
        <w:t xml:space="preserve"> and </w:t>
      </w:r>
      <w:r w:rsidRPr="00CC4E81">
        <w:rPr>
          <w:rFonts w:ascii="Times New Roman" w:eastAsia="Garamond" w:hAnsi="Times New Roman" w:cs="Times New Roman"/>
          <w:iCs/>
          <w14:ligatures w14:val="standard"/>
        </w:rPr>
        <w:t>provides insight into the agency's</w:t>
      </w:r>
      <w:r w:rsidR="00555981" w:rsidRPr="00CC4E81">
        <w:rPr>
          <w:rFonts w:ascii="Times New Roman" w:eastAsia="Garamond" w:hAnsi="Times New Roman" w:cs="Times New Roman"/>
          <w:iCs/>
          <w14:ligatures w14:val="standard"/>
        </w:rPr>
        <w:t xml:space="preserve"> overall</w:t>
      </w:r>
      <w:r w:rsidRPr="00CC4E81">
        <w:rPr>
          <w:rFonts w:ascii="Times New Roman" w:eastAsia="Garamond" w:hAnsi="Times New Roman" w:cs="Times New Roman"/>
          <w:iCs/>
          <w14:ligatures w14:val="standard"/>
        </w:rPr>
        <w:t xml:space="preserve"> enforcement strategy:</w:t>
      </w:r>
    </w:p>
    <w:p w14:paraId="6F829D61" w14:textId="77777777" w:rsidR="00500C0B" w:rsidRPr="00CC4E81" w:rsidRDefault="00ED02EB">
      <w:pPr>
        <w:pStyle w:val="BodyText"/>
        <w:numPr>
          <w:ilvl w:val="0"/>
          <w:numId w:val="1"/>
        </w:numPr>
        <w:spacing w:beforeAutospacing="1" w:after="0" w:line="480" w:lineRule="auto"/>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Notices of Violation (72.2% of actions): These represent the primary enforcement tool, serving as formal documentation of non-compliance.</w:t>
      </w:r>
    </w:p>
    <w:p w14:paraId="00DC7C0B" w14:textId="77777777" w:rsidR="00500C0B" w:rsidRPr="00CC4E81" w:rsidRDefault="00ED02EB">
      <w:pPr>
        <w:pStyle w:val="BodyText"/>
        <w:numPr>
          <w:ilvl w:val="0"/>
          <w:numId w:val="1"/>
        </w:numPr>
        <w:spacing w:before="0" w:after="0" w:line="480" w:lineRule="auto"/>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Legal Enforcement Referrals (12.7%): Cases deemed serious enough to warrant potential legal action.</w:t>
      </w:r>
    </w:p>
    <w:p w14:paraId="258F5165" w14:textId="77777777" w:rsidR="00500C0B" w:rsidRPr="00CC4E81" w:rsidRDefault="00ED02EB">
      <w:pPr>
        <w:pStyle w:val="BodyText"/>
        <w:numPr>
          <w:ilvl w:val="0"/>
          <w:numId w:val="1"/>
        </w:numPr>
        <w:spacing w:before="0" w:after="0" w:line="480" w:lineRule="auto"/>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State-Managed Plugging Referrals (11.2%): Cases where well abandonment requires state intervention.</w:t>
      </w:r>
    </w:p>
    <w:p w14:paraId="0632474B" w14:textId="77777777" w:rsidR="00500C0B" w:rsidRPr="00CC4E81" w:rsidRDefault="00ED02EB">
      <w:pPr>
        <w:pStyle w:val="BodyText"/>
        <w:numPr>
          <w:ilvl w:val="0"/>
          <w:numId w:val="1"/>
        </w:numPr>
        <w:spacing w:before="0" w:after="0" w:line="480" w:lineRule="auto"/>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Severance/Seal Orders (3.2%): The most severe administrative action, prohibiting further operations.</w:t>
      </w:r>
    </w:p>
    <w:p w14:paraId="51E5BEAE" w14:textId="77777777" w:rsidR="00500C0B" w:rsidRPr="00CC4E81" w:rsidRDefault="00ED02EB" w:rsidP="002F6B12">
      <w:pPr>
        <w:pStyle w:val="BodyText"/>
        <w:numPr>
          <w:ilvl w:val="0"/>
          <w:numId w:val="1"/>
        </w:numPr>
        <w:spacing w:before="0" w:after="0" w:line="480" w:lineRule="auto"/>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Other Actions (0.7%): Including violation corrections and state-managed cleanup programs.</w:t>
      </w:r>
    </w:p>
    <w:p w14:paraId="75D104C4" w14:textId="783B190B" w:rsidR="00500C0B" w:rsidRPr="00CC4E81" w:rsidRDefault="00ED02EB" w:rsidP="002F6B12">
      <w:pPr>
        <w:pStyle w:val="BodyText"/>
        <w:spacing w:before="0" w:after="0" w:line="480" w:lineRule="auto"/>
        <w:ind w:firstLine="720"/>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 xml:space="preserve">The effectiveness of these enforcement mechanisms varies considerably. When examining compliance rates (whether violations were resolved) following different enforcement actions, a clear hierarchy emerges. Referrals for legal enforcement achieved the highest compliance rate at 88.9%, suggesting that the threat of legal action serves as a strong motivator for operators. Severance/seal orders and notices of violation showed moderate effectiveness, with compliance rates of 56.8% and 56.3%, respectively. In contrast, referrals to state-managed programs showed notably lower compliance rates: state-managed cleanup at 7.5% and state-managed plugging at just 1.4%. This stark difference in effectiveness may reflect the nature of </w:t>
      </w:r>
      <w:r w:rsidRPr="00CC4E81">
        <w:rPr>
          <w:rFonts w:ascii="Times New Roman" w:eastAsia="Garamond" w:hAnsi="Times New Roman" w:cs="Times New Roman"/>
          <w:iCs/>
          <w14:ligatures w14:val="standard"/>
        </w:rPr>
        <w:lastRenderedPageBreak/>
        <w:t xml:space="preserve">these cases—wells referred to state management often represent abandoned or financially distressed operations where traditional enforcement mechanisms have already failed. Despite the higher effectiveness of legal referrals, the RRC predominantly issues notices of violation (72.2% of all actions), suggesting a regulatory strategy </w:t>
      </w:r>
      <w:r w:rsidR="00555981" w:rsidRPr="00CC4E81">
        <w:rPr>
          <w:rFonts w:ascii="Times New Roman" w:eastAsia="Garamond" w:hAnsi="Times New Roman" w:cs="Times New Roman"/>
          <w:iCs/>
          <w14:ligatures w14:val="standard"/>
        </w:rPr>
        <w:t>that prioritizes education and awareness over most costly or coercive options</w:t>
      </w:r>
      <w:r w:rsidRPr="00CC4E81">
        <w:rPr>
          <w:rFonts w:ascii="Times New Roman" w:eastAsia="Garamond" w:hAnsi="Times New Roman" w:cs="Times New Roman"/>
          <w:iCs/>
          <w14:ligatures w14:val="standard"/>
        </w:rPr>
        <w:t xml:space="preserve">. This preference for notices may </w:t>
      </w:r>
      <w:r w:rsidR="002B434B" w:rsidRPr="00CC4E81">
        <w:rPr>
          <w:rFonts w:ascii="Times New Roman" w:eastAsia="Garamond" w:hAnsi="Times New Roman" w:cs="Times New Roman"/>
          <w:iCs/>
          <w14:ligatures w14:val="standard"/>
        </w:rPr>
        <w:t xml:space="preserve">also reflect an </w:t>
      </w:r>
      <w:r w:rsidRPr="00CC4E81">
        <w:rPr>
          <w:rFonts w:ascii="Times New Roman" w:eastAsia="Garamond" w:hAnsi="Times New Roman" w:cs="Times New Roman"/>
          <w:iCs/>
          <w14:ligatures w14:val="standard"/>
        </w:rPr>
        <w:t xml:space="preserve">administrative </w:t>
      </w:r>
      <w:r w:rsidR="002B434B" w:rsidRPr="00CC4E81">
        <w:rPr>
          <w:rFonts w:ascii="Times New Roman" w:eastAsia="Garamond" w:hAnsi="Times New Roman" w:cs="Times New Roman"/>
          <w:iCs/>
          <w14:ligatures w14:val="standard"/>
        </w:rPr>
        <w:t xml:space="preserve">preference </w:t>
      </w:r>
      <w:r w:rsidRPr="00CC4E81">
        <w:rPr>
          <w:rFonts w:ascii="Times New Roman" w:eastAsia="Garamond" w:hAnsi="Times New Roman" w:cs="Times New Roman"/>
          <w:iCs/>
          <w14:ligatures w14:val="standard"/>
        </w:rPr>
        <w:t xml:space="preserve">and a graduated enforcement approach where more intensive mechanisms are reserved for repeated or severe violations. </w:t>
      </w:r>
    </w:p>
    <w:p w14:paraId="6EB0DCD8" w14:textId="77777777" w:rsidR="00500C0B" w:rsidRPr="00CC4E81" w:rsidRDefault="00ED02EB">
      <w:pPr>
        <w:pStyle w:val="BodyText"/>
        <w:spacing w:before="0" w:after="0" w:line="480" w:lineRule="auto"/>
        <w:ind w:firstLine="720"/>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Figure 2 shows the temporal dimension of enforcement gives additional insight into administrative efficiency. The median time from violation to enforcement action is 16 days, though the mean of 130.5 days indicates significant right-skew in the distribution. This gap between mean and median suggests that while most violations receive prompt attention, a subset of cases experience substantial delays. However, the trend shows consistent improvement in response time, decreasing from a mean of 140 days in 2016 to 27 days in 2024. This improvement coincides with the implementation of the disclosure policy, though other factors like technological improvements and organizational learning likely contribute.</w:t>
      </w:r>
    </w:p>
    <w:p w14:paraId="0A0A3712" w14:textId="77777777" w:rsidR="00116947" w:rsidRPr="00CC4E81" w:rsidRDefault="00116947" w:rsidP="00116947">
      <w:pPr>
        <w:pStyle w:val="BodyText"/>
        <w:spacing w:before="0" w:after="0" w:line="480" w:lineRule="auto"/>
        <w:rPr>
          <w:rFonts w:ascii="Times New Roman" w:eastAsia="Garamond" w:hAnsi="Times New Roman" w:cs="Times New Roman"/>
          <w:iCs/>
          <w14:ligatures w14:val="standard"/>
        </w:rPr>
      </w:pPr>
    </w:p>
    <w:p w14:paraId="5872FA63" w14:textId="77777777" w:rsidR="00116947" w:rsidRPr="00CC4E81" w:rsidRDefault="00116947" w:rsidP="00116947">
      <w:pPr>
        <w:pStyle w:val="BodyText"/>
        <w:spacing w:before="0" w:after="0" w:line="480" w:lineRule="auto"/>
        <w:rPr>
          <w:rFonts w:ascii="Times New Roman" w:eastAsia="Garamond" w:hAnsi="Times New Roman" w:cs="Times New Roman"/>
          <w:iCs/>
          <w14:ligatures w14:val="standard"/>
        </w:rPr>
      </w:pPr>
    </w:p>
    <w:p w14:paraId="49B41F7B" w14:textId="77777777" w:rsidR="00116947" w:rsidRPr="00CC4E81" w:rsidRDefault="00116947" w:rsidP="00116947">
      <w:pPr>
        <w:pStyle w:val="BodyText"/>
        <w:spacing w:before="0" w:after="0" w:line="480" w:lineRule="auto"/>
        <w:rPr>
          <w:rFonts w:ascii="Times New Roman" w:eastAsia="Garamond" w:hAnsi="Times New Roman" w:cs="Times New Roman"/>
          <w:iCs/>
          <w14:ligatures w14:val="standard"/>
        </w:rPr>
      </w:pPr>
    </w:p>
    <w:p w14:paraId="1418C9E2" w14:textId="06E98640" w:rsidR="00116947" w:rsidRPr="00CC4E81" w:rsidRDefault="00116947" w:rsidP="00116947">
      <w:pPr>
        <w:pStyle w:val="BodyText"/>
        <w:spacing w:before="0" w:after="0" w:line="480" w:lineRule="auto"/>
        <w:jc w:val="center"/>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[FIGURE 2 ABOUT HERE]</w:t>
      </w:r>
    </w:p>
    <w:p w14:paraId="12153E3C" w14:textId="47CFEB2A" w:rsidR="00500C0B" w:rsidRPr="00CC4E81" w:rsidRDefault="00500C0B">
      <w:pPr>
        <w:pStyle w:val="BodyText"/>
        <w:keepNext/>
        <w:spacing w:before="0" w:after="0" w:line="480" w:lineRule="auto"/>
        <w:ind w:firstLine="360"/>
        <w:rPr>
          <w:rFonts w:ascii="Times New Roman" w:hAnsi="Times New Roman" w:cs="Times New Roman"/>
        </w:rPr>
      </w:pPr>
    </w:p>
    <w:p w14:paraId="6D797192" w14:textId="77777777" w:rsidR="00116947" w:rsidRPr="00CC4E81" w:rsidRDefault="00116947">
      <w:pPr>
        <w:pStyle w:val="BodyText"/>
        <w:keepNext/>
        <w:spacing w:before="0" w:after="0" w:line="480" w:lineRule="auto"/>
        <w:ind w:firstLine="360"/>
        <w:rPr>
          <w:rFonts w:ascii="Times New Roman" w:hAnsi="Times New Roman" w:cs="Times New Roman"/>
        </w:rPr>
      </w:pPr>
    </w:p>
    <w:p w14:paraId="515B5FF1" w14:textId="77777777" w:rsidR="00500C0B" w:rsidRPr="00CC4E81" w:rsidRDefault="00500C0B">
      <w:pPr>
        <w:pStyle w:val="Caption"/>
        <w:rPr>
          <w:rFonts w:ascii="Times New Roman" w:eastAsia="Garamond" w:hAnsi="Times New Roman" w:cs="Times New Roman"/>
          <w:iCs w:val="0"/>
          <w14:ligatures w14:val="standard"/>
        </w:rPr>
      </w:pPr>
    </w:p>
    <w:p w14:paraId="3F21DB24" w14:textId="7E665A00" w:rsidR="00500C0B" w:rsidRPr="00CC4E81" w:rsidRDefault="00ED02EB" w:rsidP="006C2DA6">
      <w:pPr>
        <w:pStyle w:val="BodyText"/>
        <w:spacing w:before="0" w:after="0" w:line="480" w:lineRule="auto"/>
        <w:ind w:firstLine="720"/>
        <w:rPr>
          <w:rFonts w:ascii="Times New Roman" w:hAnsi="Times New Roman" w:cs="Times New Roman"/>
        </w:rPr>
      </w:pPr>
      <w:r w:rsidRPr="00CC4E81">
        <w:rPr>
          <w:rFonts w:ascii="Times New Roman" w:eastAsia="Garamond" w:hAnsi="Times New Roman" w:cs="Times New Roman"/>
          <w:iCs/>
          <w14:ligatures w14:val="standard"/>
        </w:rPr>
        <w:t>We found clear patterns in how the 2019 disclosure policy impacted different stages of the regulatory pipeline</w:t>
      </w:r>
      <w:r w:rsidR="00386021" w:rsidRPr="00CC4E81">
        <w:rPr>
          <w:rFonts w:ascii="Times New Roman" w:eastAsia="Garamond" w:hAnsi="Times New Roman" w:cs="Times New Roman"/>
          <w:iCs/>
          <w14:ligatures w14:val="standard"/>
        </w:rPr>
        <w:t xml:space="preserve">. </w:t>
      </w:r>
      <w:r w:rsidRPr="00CC4E81">
        <w:rPr>
          <w:rFonts w:ascii="Times New Roman" w:eastAsia="Garamond" w:hAnsi="Times New Roman" w:cs="Times New Roman"/>
          <w:iCs/>
          <w14:ligatures w14:val="standard"/>
        </w:rPr>
        <w:t>For inspections</w:t>
      </w:r>
      <w:r w:rsidR="00303D51" w:rsidRPr="00CC4E81">
        <w:rPr>
          <w:rFonts w:ascii="Times New Roman" w:eastAsia="Garamond" w:hAnsi="Times New Roman" w:cs="Times New Roman"/>
          <w:iCs/>
          <w14:ligatures w14:val="standard"/>
        </w:rPr>
        <w:t xml:space="preserve"> more generally</w:t>
      </w:r>
      <w:r w:rsidRPr="00CC4E81">
        <w:rPr>
          <w:rFonts w:ascii="Times New Roman" w:eastAsia="Garamond" w:hAnsi="Times New Roman" w:cs="Times New Roman"/>
          <w:iCs/>
          <w14:ligatures w14:val="standard"/>
        </w:rPr>
        <w:t>, we observe</w:t>
      </w:r>
      <w:r w:rsidR="00555981" w:rsidRPr="00CC4E81">
        <w:rPr>
          <w:rFonts w:ascii="Times New Roman" w:eastAsia="Garamond" w:hAnsi="Times New Roman" w:cs="Times New Roman"/>
          <w:iCs/>
          <w14:ligatures w14:val="standard"/>
        </w:rPr>
        <w:t xml:space="preserve">d </w:t>
      </w:r>
      <w:r w:rsidRPr="00CC4E81">
        <w:rPr>
          <w:rFonts w:ascii="Times New Roman" w:eastAsia="Garamond" w:hAnsi="Times New Roman" w:cs="Times New Roman"/>
          <w:iCs/>
          <w14:ligatures w14:val="standard"/>
        </w:rPr>
        <w:t xml:space="preserve">a significant shift in </w:t>
      </w:r>
      <w:r w:rsidRPr="00CC4E81">
        <w:rPr>
          <w:rFonts w:ascii="Times New Roman" w:eastAsia="Garamond" w:hAnsi="Times New Roman" w:cs="Times New Roman"/>
          <w:iCs/>
          <w14:ligatures w14:val="standard"/>
        </w:rPr>
        <w:lastRenderedPageBreak/>
        <w:t xml:space="preserve">intensity and coverage after 2019. While pre-2019 monthly inspections averaged around 12,000-15,000, post-2019 shows both higher volumes (reaching 20,000-25,000 monthly inspections) and more consistent coverage, particularly from 2022-2024. This supports </w:t>
      </w:r>
      <w:r w:rsidR="00801EBB" w:rsidRPr="00CC4E81">
        <w:rPr>
          <w:rFonts w:ascii="Times New Roman" w:eastAsia="Garamond" w:hAnsi="Times New Roman" w:cs="Times New Roman"/>
          <w:iCs/>
          <w14:ligatures w14:val="standard"/>
        </w:rPr>
        <w:t>H</w:t>
      </w:r>
      <w:r w:rsidRPr="00CC4E81">
        <w:rPr>
          <w:rFonts w:ascii="Times New Roman" w:eastAsia="Garamond" w:hAnsi="Times New Roman" w:cs="Times New Roman"/>
          <w:iCs/>
          <w14:ligatures w14:val="standard"/>
        </w:rPr>
        <w:t xml:space="preserve">ypothesis </w:t>
      </w:r>
      <w:r w:rsidR="00801EBB" w:rsidRPr="00CC4E81">
        <w:rPr>
          <w:rFonts w:ascii="Times New Roman" w:eastAsia="Garamond" w:hAnsi="Times New Roman" w:cs="Times New Roman"/>
          <w:iCs/>
          <w14:ligatures w14:val="standard"/>
        </w:rPr>
        <w:t>1a</w:t>
      </w:r>
      <w:r w:rsidRPr="00CC4E81">
        <w:rPr>
          <w:rFonts w:ascii="Times New Roman" w:eastAsia="Garamond" w:hAnsi="Times New Roman" w:cs="Times New Roman"/>
          <w:iCs/>
          <w14:ligatures w14:val="standard"/>
        </w:rPr>
        <w:t xml:space="preserve"> that disclosure would enhance inspection activities, possibly due to increased public visibility of regulatory performance.</w:t>
      </w:r>
      <w:r w:rsidR="00386021" w:rsidRPr="00CC4E81">
        <w:rPr>
          <w:rFonts w:ascii="Times New Roman" w:eastAsia="Garamond" w:hAnsi="Times New Roman" w:cs="Times New Roman"/>
          <w:iCs/>
          <w14:ligatures w14:val="standard"/>
        </w:rPr>
        <w:t xml:space="preserve"> However, the relative affluence of an area appeared to be unrelated to changes in inspections, violations, and administrative actions, </w:t>
      </w:r>
      <w:r w:rsidR="000B7BFE" w:rsidRPr="00CC4E81">
        <w:rPr>
          <w:rFonts w:ascii="Times New Roman" w:eastAsia="Garamond" w:hAnsi="Times New Roman" w:cs="Times New Roman"/>
          <w:iCs/>
          <w14:ligatures w14:val="standard"/>
        </w:rPr>
        <w:t xml:space="preserve">leaving </w:t>
      </w:r>
      <w:r w:rsidR="00873EA6" w:rsidRPr="00CC4E81">
        <w:rPr>
          <w:rFonts w:ascii="Times New Roman" w:eastAsia="Garamond" w:hAnsi="Times New Roman" w:cs="Times New Roman"/>
          <w:iCs/>
          <w14:ligatures w14:val="standard"/>
        </w:rPr>
        <w:t xml:space="preserve">Hypothesis 3a, 3b, and 3c, along with our expectation for H3c, without support. </w:t>
      </w:r>
      <w:r w:rsidR="00E46E21" w:rsidRPr="00CC4E81">
        <w:rPr>
          <w:rFonts w:ascii="Times New Roman" w:eastAsia="Garamond" w:hAnsi="Times New Roman" w:cs="Times New Roman"/>
          <w:iCs/>
          <w14:ligatures w14:val="standard"/>
        </w:rPr>
        <w:t>C</w:t>
      </w:r>
      <w:r w:rsidRPr="00CC4E81">
        <w:rPr>
          <w:rFonts w:ascii="Times New Roman" w:eastAsia="Garamond" w:hAnsi="Times New Roman" w:cs="Times New Roman"/>
          <w:iCs/>
          <w14:ligatures w14:val="standard"/>
        </w:rPr>
        <w:t>ontrary to H</w:t>
      </w:r>
      <w:r w:rsidR="00801EBB" w:rsidRPr="00CC4E81">
        <w:rPr>
          <w:rFonts w:ascii="Times New Roman" w:eastAsia="Garamond" w:hAnsi="Times New Roman" w:cs="Times New Roman"/>
          <w:iCs/>
          <w14:ligatures w14:val="standard"/>
        </w:rPr>
        <w:t xml:space="preserve">ypothesis </w:t>
      </w:r>
      <w:r w:rsidRPr="00CC4E81">
        <w:rPr>
          <w:rFonts w:ascii="Times New Roman" w:eastAsia="Garamond" w:hAnsi="Times New Roman" w:cs="Times New Roman"/>
          <w:iCs/>
          <w14:ligatures w14:val="standard"/>
        </w:rPr>
        <w:t xml:space="preserve">1b, violation identification patterns show an inverse relationship with increased inspections. Despite more frequent inspections post-2019, the violation rate decreased from 74% of inspections in 2015 to 33.4% in 2024. This unexpected finding suggests either improved operator compliance in response to disclosure or shifts in inspection strategies toward prevention rather than violation </w:t>
      </w:r>
      <w:r w:rsidR="002B434B" w:rsidRPr="00CC4E81">
        <w:rPr>
          <w:rFonts w:ascii="Times New Roman" w:eastAsia="Garamond" w:hAnsi="Times New Roman" w:cs="Times New Roman"/>
          <w:iCs/>
          <w14:ligatures w14:val="standard"/>
        </w:rPr>
        <w:t>detection and is ripe for future research</w:t>
      </w:r>
      <w:r w:rsidRPr="00CC4E81">
        <w:rPr>
          <w:rFonts w:ascii="Times New Roman" w:eastAsia="Garamond" w:hAnsi="Times New Roman" w:cs="Times New Roman"/>
          <w:iCs/>
          <w14:ligatures w14:val="standard"/>
        </w:rPr>
        <w:t>.</w:t>
      </w:r>
    </w:p>
    <w:p w14:paraId="10E0BC63" w14:textId="724F1FB7" w:rsidR="00500C0B" w:rsidRPr="00CC4E81" w:rsidRDefault="00ED02EB">
      <w:pPr>
        <w:pStyle w:val="BodyText"/>
        <w:spacing w:before="0" w:after="0" w:line="480" w:lineRule="auto"/>
        <w:ind w:firstLine="720"/>
        <w:rPr>
          <w:rFonts w:ascii="Times New Roman" w:hAnsi="Times New Roman" w:cs="Times New Roman"/>
        </w:rPr>
      </w:pPr>
      <w:r w:rsidRPr="00CC4E81">
        <w:rPr>
          <w:rFonts w:ascii="Times New Roman" w:eastAsia="Garamond" w:hAnsi="Times New Roman" w:cs="Times New Roman"/>
          <w:iCs/>
          <w14:ligatures w14:val="standard"/>
        </w:rPr>
        <w:t>The impact on administrative actions (H</w:t>
      </w:r>
      <w:r w:rsidR="00186C2D" w:rsidRPr="00CC4E81">
        <w:rPr>
          <w:rFonts w:ascii="Times New Roman" w:eastAsia="Garamond" w:hAnsi="Times New Roman" w:cs="Times New Roman"/>
          <w:iCs/>
          <w14:ligatures w14:val="standard"/>
        </w:rPr>
        <w:t xml:space="preserve">ypothesis </w:t>
      </w:r>
      <w:r w:rsidRPr="00CC4E81">
        <w:rPr>
          <w:rFonts w:ascii="Times New Roman" w:eastAsia="Garamond" w:hAnsi="Times New Roman" w:cs="Times New Roman"/>
          <w:iCs/>
          <w14:ligatures w14:val="standard"/>
        </w:rPr>
        <w:t xml:space="preserve">2 and </w:t>
      </w:r>
      <w:r w:rsidR="00397750" w:rsidRPr="00CC4E81">
        <w:rPr>
          <w:rFonts w:ascii="Times New Roman" w:eastAsia="Garamond" w:hAnsi="Times New Roman" w:cs="Times New Roman"/>
          <w:iCs/>
          <w14:ligatures w14:val="standard"/>
        </w:rPr>
        <w:t xml:space="preserve">Expectation </w:t>
      </w:r>
      <w:r w:rsidR="00D32E15" w:rsidRPr="00CC4E81">
        <w:rPr>
          <w:rFonts w:ascii="Times New Roman" w:eastAsia="Garamond" w:hAnsi="Times New Roman" w:cs="Times New Roman"/>
          <w:iCs/>
          <w14:ligatures w14:val="standard"/>
        </w:rPr>
        <w:t>for H2</w:t>
      </w:r>
      <w:r w:rsidRPr="00CC4E81">
        <w:rPr>
          <w:rFonts w:ascii="Times New Roman" w:eastAsia="Garamond" w:hAnsi="Times New Roman" w:cs="Times New Roman"/>
          <w:iCs/>
          <w14:ligatures w14:val="standard"/>
        </w:rPr>
        <w:t>) shows notable variation across enforcement types. After 2019, we observe a 54.54% increase in legal enforcement referrals and a 13.27% increase in state-managed plugging actions, while routine notices of violation decreased by 4.55% and severance orders declined by 59.81%. This redistribution toward more serious enforcement mechanisms, coupled with improved response times, suggests that disclosure may have prompted a more targeted and efficient enforcement approach. The shift appears particularly effective given the increase in compliance rates for wells receiving legal referrals (88.9%) compared to other enforcement actions.</w:t>
      </w:r>
    </w:p>
    <w:p w14:paraId="18A7E04F" w14:textId="13B7F293" w:rsidR="00500C0B" w:rsidRPr="00CC4E81" w:rsidRDefault="00ED02EB">
      <w:pPr>
        <w:pStyle w:val="BodyText"/>
        <w:spacing w:before="0" w:after="0" w:line="480" w:lineRule="auto"/>
        <w:ind w:firstLine="720"/>
        <w:rPr>
          <w:rFonts w:ascii="Times New Roman" w:eastAsia="Garamond" w:hAnsi="Times New Roman" w:cs="Times New Roman"/>
          <w:iCs/>
          <w14:ligatures w14:val="standard"/>
        </w:rPr>
      </w:pPr>
      <w:r w:rsidRPr="00CC4E81">
        <w:rPr>
          <w:rFonts w:ascii="Times New Roman" w:eastAsia="Garamond" w:hAnsi="Times New Roman" w:cs="Times New Roman"/>
          <w:iCs/>
          <w14:ligatures w14:val="standard"/>
        </w:rPr>
        <w:t xml:space="preserve">These findings complement our core analysis of the disclosure policy’s impact by shedding light on the mechanisms through which regulatory oversight operates. The concentration of violations among a relatively small subset of wells, the varying effectiveness of </w:t>
      </w:r>
      <w:r w:rsidRPr="00CC4E81">
        <w:rPr>
          <w:rFonts w:ascii="Times New Roman" w:eastAsia="Garamond" w:hAnsi="Times New Roman" w:cs="Times New Roman"/>
          <w:iCs/>
          <w14:ligatures w14:val="standard"/>
        </w:rPr>
        <w:lastRenderedPageBreak/>
        <w:t>different enforcement tools, and the temporal improvements in response time all suggest an evolving regulatory approach that balances oversight with resource constraints. This context helps explain both the opportunities and limitations that increased disclosure presents for improving regulatory performance.</w:t>
      </w:r>
    </w:p>
    <w:p w14:paraId="7B54EEF8" w14:textId="77777777" w:rsidR="00500C0B" w:rsidRPr="00CC4E81" w:rsidRDefault="00ED02EB">
      <w:pPr>
        <w:pStyle w:val="BodyText"/>
        <w:spacing w:before="0" w:after="0"/>
        <w:rPr>
          <w:rFonts w:ascii="Times New Roman" w:eastAsia="Garamond" w:hAnsi="Times New Roman" w:cs="Times New Roman"/>
          <w:b/>
          <w:bCs/>
          <w14:ligatures w14:val="standard"/>
        </w:rPr>
      </w:pPr>
      <w:r w:rsidRPr="00CC4E81">
        <w:rPr>
          <w:rFonts w:ascii="Times New Roman" w:eastAsia="Garamond" w:hAnsi="Times New Roman" w:cs="Times New Roman"/>
          <w:b/>
          <w:bCs/>
          <w14:ligatures w14:val="standard"/>
        </w:rPr>
        <w:t>Implications and Explanations</w:t>
      </w:r>
    </w:p>
    <w:p w14:paraId="046089BF" w14:textId="77777777" w:rsidR="00500C0B" w:rsidRPr="00CC4E81" w:rsidRDefault="00500C0B">
      <w:pPr>
        <w:pStyle w:val="BodyText"/>
        <w:spacing w:before="0" w:after="0"/>
        <w:rPr>
          <w:rFonts w:ascii="Times New Roman" w:eastAsia="Garamond" w:hAnsi="Times New Roman" w:cs="Times New Roman"/>
          <w:b/>
          <w:bCs/>
          <w14:ligatures w14:val="standard"/>
        </w:rPr>
      </w:pPr>
    </w:p>
    <w:p w14:paraId="06911C36" w14:textId="6040AAEC" w:rsidR="00500C0B" w:rsidRPr="00CC4E81" w:rsidRDefault="00ED02EB">
      <w:pPr>
        <w:pStyle w:val="BodyText"/>
        <w:spacing w:before="0" w:after="0" w:line="480" w:lineRule="auto"/>
        <w:ind w:left="-14" w:right="-14" w:firstLine="720"/>
        <w:rPr>
          <w:rFonts w:ascii="Times New Roman" w:eastAsia="Garamond" w:hAnsi="Times New Roman" w:cs="Times New Roman"/>
          <w14:ligatures w14:val="standard"/>
        </w:rPr>
      </w:pPr>
      <w:r w:rsidRPr="00CC4E81">
        <w:rPr>
          <w:rFonts w:ascii="Times New Roman" w:eastAsia="Garamond" w:hAnsi="Times New Roman" w:cs="Times New Roman"/>
          <w14:ligatures w14:val="standard"/>
        </w:rPr>
        <w:t xml:space="preserve">This study asked a cornerstone question about </w:t>
      </w:r>
      <w:r w:rsidR="006C2DA6" w:rsidRPr="00CC4E81">
        <w:rPr>
          <w:rFonts w:ascii="Times New Roman" w:eastAsia="Garamond" w:hAnsi="Times New Roman" w:cs="Times New Roman"/>
          <w14:ligatures w14:val="standard"/>
        </w:rPr>
        <w:t xml:space="preserve">the relationship between </w:t>
      </w:r>
      <w:r w:rsidRPr="00CC4E81">
        <w:rPr>
          <w:rFonts w:ascii="Times New Roman" w:eastAsia="Garamond" w:hAnsi="Times New Roman" w:cs="Times New Roman"/>
          <w14:ligatures w14:val="standard"/>
        </w:rPr>
        <w:t xml:space="preserve">information </w:t>
      </w:r>
      <w:r w:rsidR="00B53026" w:rsidRPr="00CC4E81">
        <w:rPr>
          <w:rFonts w:ascii="Times New Roman" w:eastAsia="Garamond" w:hAnsi="Times New Roman" w:cs="Times New Roman"/>
          <w14:ligatures w14:val="standard"/>
        </w:rPr>
        <w:t xml:space="preserve">disclosure </w:t>
      </w:r>
      <w:r w:rsidRPr="00CC4E81">
        <w:rPr>
          <w:rFonts w:ascii="Times New Roman" w:eastAsia="Garamond" w:hAnsi="Times New Roman" w:cs="Times New Roman"/>
          <w14:ligatures w14:val="standard"/>
        </w:rPr>
        <w:t xml:space="preserve">and performance—does greater transparency and disclosure improve bureaucratic performance? The answer, at least regarding compliance outputs in </w:t>
      </w:r>
      <w:r w:rsidR="00D74EDE" w:rsidRPr="00CC4E81">
        <w:rPr>
          <w:rFonts w:ascii="Times New Roman" w:eastAsia="Garamond" w:hAnsi="Times New Roman" w:cs="Times New Roman"/>
          <w14:ligatures w14:val="standard"/>
        </w:rPr>
        <w:t>Texas,</w:t>
      </w:r>
      <w:r w:rsidRPr="00CC4E81">
        <w:rPr>
          <w:rFonts w:ascii="Times New Roman" w:eastAsia="Garamond" w:hAnsi="Times New Roman" w:cs="Times New Roman"/>
          <w14:ligatures w14:val="standard"/>
        </w:rPr>
        <w:t xml:space="preserve"> is yes, but with caveats.</w:t>
      </w:r>
    </w:p>
    <w:p w14:paraId="7FF38086" w14:textId="7F4A1DA5" w:rsidR="00500C0B" w:rsidRPr="00CC4E81" w:rsidRDefault="00ED02EB" w:rsidP="006C2DA6">
      <w:pPr>
        <w:pStyle w:val="BodyText"/>
        <w:spacing w:before="0" w:after="0" w:line="480" w:lineRule="auto"/>
        <w:ind w:right="-14"/>
        <w:rPr>
          <w:rFonts w:ascii="Times New Roman" w:eastAsia="Garamond" w:hAnsi="Times New Roman" w:cs="Times New Roman"/>
          <w:i/>
          <w:iCs/>
          <w14:ligatures w14:val="standard"/>
        </w:rPr>
      </w:pPr>
      <w:r w:rsidRPr="00CC4E81">
        <w:rPr>
          <w:rFonts w:ascii="Times New Roman" w:eastAsia="Garamond" w:hAnsi="Times New Roman" w:cs="Times New Roman"/>
          <w:i/>
          <w:iCs/>
          <w14:ligatures w14:val="standard"/>
        </w:rPr>
        <w:t>Violations</w:t>
      </w:r>
    </w:p>
    <w:p w14:paraId="3B96812D" w14:textId="7E6A00AF" w:rsidR="00500C0B" w:rsidRPr="00CC4E81" w:rsidRDefault="006C2DA6">
      <w:pPr>
        <w:pStyle w:val="BodyText"/>
        <w:spacing w:before="0" w:after="0" w:line="480" w:lineRule="auto"/>
        <w:ind w:right="-14" w:firstLine="720"/>
        <w:rPr>
          <w:rFonts w:ascii="Times New Roman" w:eastAsia="Garamond" w:hAnsi="Times New Roman" w:cs="Times New Roman"/>
          <w:i/>
          <w:iCs/>
          <w14:ligatures w14:val="standard"/>
        </w:rPr>
      </w:pPr>
      <w:r w:rsidRPr="00CC4E81">
        <w:rPr>
          <w:rFonts w:ascii="Times New Roman" w:eastAsia="Garamond" w:hAnsi="Times New Roman" w:cs="Times New Roman"/>
          <w14:ligatures w14:val="standard"/>
        </w:rPr>
        <w:t>R</w:t>
      </w:r>
      <w:r w:rsidR="00ED02EB" w:rsidRPr="00CC4E81">
        <w:rPr>
          <w:rFonts w:ascii="Times New Roman" w:eastAsia="Garamond" w:hAnsi="Times New Roman" w:cs="Times New Roman"/>
          <w14:ligatures w14:val="standard"/>
        </w:rPr>
        <w:t xml:space="preserve">esults from the spatial models indicate a significant and positive effect of the policy change on the number of recorded violations (one aspect of administrative performance). This observation supports our </w:t>
      </w:r>
      <w:r w:rsidR="00B53026" w:rsidRPr="00CC4E81">
        <w:rPr>
          <w:rFonts w:ascii="Times New Roman" w:eastAsia="Garamond" w:hAnsi="Times New Roman" w:cs="Times New Roman"/>
          <w14:ligatures w14:val="standard"/>
        </w:rPr>
        <w:t>hypothesis but leaves open the question of why</w:t>
      </w:r>
      <w:r w:rsidR="00ED02EB" w:rsidRPr="00CC4E81">
        <w:rPr>
          <w:rFonts w:ascii="Times New Roman" w:eastAsia="Garamond" w:hAnsi="Times New Roman" w:cs="Times New Roman"/>
          <w14:ligatures w14:val="standard"/>
        </w:rPr>
        <w:t>. Regarding oil and gas enforcement, greater disclosure of performance data may contribute to heightened stakeholder awareness</w:t>
      </w:r>
      <w:r w:rsidR="00B53026" w:rsidRPr="00CC4E81">
        <w:rPr>
          <w:rFonts w:ascii="Times New Roman" w:eastAsia="Garamond" w:hAnsi="Times New Roman" w:cs="Times New Roman"/>
          <w14:ligatures w14:val="standard"/>
        </w:rPr>
        <w:t>, greater accountability,</w:t>
      </w:r>
      <w:r w:rsidR="00ED02EB" w:rsidRPr="00CC4E81">
        <w:rPr>
          <w:rFonts w:ascii="Times New Roman" w:eastAsia="Garamond" w:hAnsi="Times New Roman" w:cs="Times New Roman"/>
          <w14:ligatures w14:val="standard"/>
        </w:rPr>
        <w:t xml:space="preserve"> and knowledge of risks</w:t>
      </w:r>
      <w:r w:rsidR="00B53026" w:rsidRPr="00CC4E81">
        <w:rPr>
          <w:rFonts w:ascii="Times New Roman" w:eastAsia="Garamond" w:hAnsi="Times New Roman" w:cs="Times New Roman"/>
          <w14:ligatures w14:val="standard"/>
        </w:rPr>
        <w:t>, especially among citizens living in and around Texas’ oil and gas fields</w:t>
      </w:r>
      <w:r w:rsidR="00ED02EB" w:rsidRPr="00CC4E81">
        <w:rPr>
          <w:rFonts w:ascii="Times New Roman" w:eastAsia="Garamond" w:hAnsi="Times New Roman" w:cs="Times New Roman"/>
          <w14:ligatures w14:val="standard"/>
        </w:rPr>
        <w:t>. Armed with this information, affected parties may work within the RRC</w:t>
      </w:r>
      <w:r w:rsidR="00B53026" w:rsidRPr="00CC4E81">
        <w:rPr>
          <w:rFonts w:ascii="Times New Roman" w:eastAsia="Garamond" w:hAnsi="Times New Roman" w:cs="Times New Roman"/>
          <w14:ligatures w14:val="standard"/>
        </w:rPr>
        <w:t>, seek to shame the RRC,</w:t>
      </w:r>
      <w:r w:rsidR="00ED02EB" w:rsidRPr="00CC4E81">
        <w:rPr>
          <w:rFonts w:ascii="Times New Roman" w:eastAsia="Garamond" w:hAnsi="Times New Roman" w:cs="Times New Roman"/>
          <w14:ligatures w14:val="standard"/>
        </w:rPr>
        <w:t xml:space="preserve"> or push </w:t>
      </w:r>
      <w:r w:rsidRPr="00CC4E81">
        <w:rPr>
          <w:rFonts w:ascii="Times New Roman" w:eastAsia="Garamond" w:hAnsi="Times New Roman" w:cs="Times New Roman"/>
          <w14:ligatures w14:val="standard"/>
        </w:rPr>
        <w:t>the Agency</w:t>
      </w:r>
      <w:r w:rsidR="00ED02EB" w:rsidRPr="00CC4E81">
        <w:rPr>
          <w:rFonts w:ascii="Times New Roman" w:eastAsia="Garamond" w:hAnsi="Times New Roman" w:cs="Times New Roman"/>
          <w14:ligatures w14:val="standard"/>
        </w:rPr>
        <w:t xml:space="preserve"> to utilize the data strategically to identify violations</w:t>
      </w:r>
      <w:r w:rsidR="00B53026" w:rsidRPr="00CC4E81">
        <w:rPr>
          <w:rFonts w:ascii="Times New Roman" w:eastAsia="Garamond" w:hAnsi="Times New Roman" w:cs="Times New Roman"/>
          <w14:ligatures w14:val="standard"/>
        </w:rPr>
        <w:t xml:space="preserve"> including operator type or well type</w:t>
      </w:r>
      <w:r w:rsidR="00ED02EB" w:rsidRPr="00CC4E81">
        <w:rPr>
          <w:rFonts w:ascii="Times New Roman" w:eastAsia="Garamond" w:hAnsi="Times New Roman" w:cs="Times New Roman"/>
          <w14:ligatures w14:val="standard"/>
        </w:rPr>
        <w:t>.</w:t>
      </w:r>
    </w:p>
    <w:p w14:paraId="0F4E4EB1" w14:textId="04023FA1" w:rsidR="00500C0B" w:rsidRPr="00CC4E81" w:rsidRDefault="00ED02EB" w:rsidP="00B53026">
      <w:pPr>
        <w:pStyle w:val="BodyText"/>
        <w:spacing w:before="0" w:after="0" w:line="480" w:lineRule="auto"/>
        <w:ind w:right="-14" w:firstLine="720"/>
        <w:rPr>
          <w:rFonts w:ascii="Times New Roman" w:eastAsia="Garamond" w:hAnsi="Times New Roman" w:cs="Times New Roman"/>
          <w14:ligatures w14:val="standard"/>
        </w:rPr>
      </w:pPr>
      <w:r w:rsidRPr="00CC4E81">
        <w:rPr>
          <w:rFonts w:ascii="Times New Roman" w:eastAsia="Garamond" w:hAnsi="Times New Roman" w:cs="Times New Roman"/>
          <w14:ligatures w14:val="standard"/>
        </w:rPr>
        <w:t xml:space="preserve">The increases in RRC performance could </w:t>
      </w:r>
      <w:r w:rsidR="006C2DA6" w:rsidRPr="00CC4E81">
        <w:rPr>
          <w:rFonts w:ascii="Times New Roman" w:eastAsia="Garamond" w:hAnsi="Times New Roman" w:cs="Times New Roman"/>
          <w14:ligatures w14:val="standard"/>
        </w:rPr>
        <w:t xml:space="preserve">also </w:t>
      </w:r>
      <w:r w:rsidRPr="00CC4E81">
        <w:rPr>
          <w:rFonts w:ascii="Times New Roman" w:eastAsia="Garamond" w:hAnsi="Times New Roman" w:cs="Times New Roman"/>
          <w14:ligatures w14:val="standard"/>
        </w:rPr>
        <w:t>be due to several factors</w:t>
      </w:r>
      <w:r w:rsidR="00B53026" w:rsidRPr="00CC4E81">
        <w:rPr>
          <w:rFonts w:ascii="Times New Roman" w:eastAsia="Garamond" w:hAnsi="Times New Roman" w:cs="Times New Roman"/>
          <w14:ligatures w14:val="standard"/>
        </w:rPr>
        <w:t xml:space="preserve"> that impacted </w:t>
      </w:r>
      <w:r w:rsidR="006C2DA6" w:rsidRPr="00CC4E81">
        <w:rPr>
          <w:rFonts w:ascii="Times New Roman" w:eastAsia="Garamond" w:hAnsi="Times New Roman" w:cs="Times New Roman"/>
          <w14:ligatures w14:val="standard"/>
        </w:rPr>
        <w:t>the agency’s real and/or perceived</w:t>
      </w:r>
      <w:r w:rsidR="00B53026" w:rsidRPr="00CC4E81">
        <w:rPr>
          <w:rFonts w:ascii="Times New Roman" w:eastAsia="Garamond" w:hAnsi="Times New Roman" w:cs="Times New Roman"/>
          <w14:ligatures w14:val="standard"/>
        </w:rPr>
        <w:t xml:space="preserve"> political calculus</w:t>
      </w:r>
      <w:r w:rsidRPr="00CC4E81">
        <w:rPr>
          <w:rFonts w:ascii="Times New Roman" w:eastAsia="Garamond" w:hAnsi="Times New Roman" w:cs="Times New Roman"/>
          <w14:ligatures w14:val="standard"/>
        </w:rPr>
        <w:t>. For example, by making violation data public</w:t>
      </w:r>
      <w:r w:rsidR="00B53026" w:rsidRPr="00CC4E81">
        <w:rPr>
          <w:rFonts w:ascii="Times New Roman" w:eastAsia="Garamond" w:hAnsi="Times New Roman" w:cs="Times New Roman"/>
          <w14:ligatures w14:val="standard"/>
        </w:rPr>
        <w:t>ly available</w:t>
      </w:r>
      <w:r w:rsidRPr="00CC4E81">
        <w:rPr>
          <w:rFonts w:ascii="Times New Roman" w:eastAsia="Garamond" w:hAnsi="Times New Roman" w:cs="Times New Roman"/>
          <w14:ligatures w14:val="standard"/>
        </w:rPr>
        <w:t>, the RRC</w:t>
      </w:r>
      <w:r w:rsidR="00B53026" w:rsidRPr="00CC4E81">
        <w:rPr>
          <w:rFonts w:ascii="Times New Roman" w:eastAsia="Garamond" w:hAnsi="Times New Roman" w:cs="Times New Roman"/>
          <w14:ligatures w14:val="standard"/>
        </w:rPr>
        <w:t xml:space="preserve"> may be seeking to</w:t>
      </w:r>
      <w:r w:rsidRPr="00CC4E81">
        <w:rPr>
          <w:rFonts w:ascii="Times New Roman" w:eastAsia="Garamond" w:hAnsi="Times New Roman" w:cs="Times New Roman"/>
          <w14:ligatures w14:val="standard"/>
        </w:rPr>
        <w:t xml:space="preserve"> hold itself accountable,</w:t>
      </w:r>
      <w:r w:rsidR="00B53026" w:rsidRPr="00CC4E81">
        <w:rPr>
          <w:rFonts w:ascii="Times New Roman" w:eastAsia="Garamond" w:hAnsi="Times New Roman" w:cs="Times New Roman"/>
          <w14:ligatures w14:val="standard"/>
        </w:rPr>
        <w:t xml:space="preserve"> establish baselines or base expectations, </w:t>
      </w:r>
      <w:r w:rsidR="006C2DA6" w:rsidRPr="00CC4E81">
        <w:rPr>
          <w:rFonts w:ascii="Times New Roman" w:eastAsia="Garamond" w:hAnsi="Times New Roman" w:cs="Times New Roman"/>
          <w14:ligatures w14:val="standard"/>
        </w:rPr>
        <w:t xml:space="preserve">avoid future oversight, </w:t>
      </w:r>
      <w:r w:rsidR="00B53026" w:rsidRPr="00CC4E81">
        <w:rPr>
          <w:rFonts w:ascii="Times New Roman" w:eastAsia="Garamond" w:hAnsi="Times New Roman" w:cs="Times New Roman"/>
          <w14:ligatures w14:val="standard"/>
        </w:rPr>
        <w:t xml:space="preserve">or increase </w:t>
      </w:r>
      <w:r w:rsidRPr="00CC4E81">
        <w:rPr>
          <w:rFonts w:ascii="Times New Roman" w:eastAsia="Garamond" w:hAnsi="Times New Roman" w:cs="Times New Roman"/>
          <w14:ligatures w14:val="standard"/>
        </w:rPr>
        <w:t xml:space="preserve">pressure to improve performance. This is particularly relevant since in 2017 the Texas legislature ordered the RRC to develop and publish </w:t>
      </w:r>
      <w:r w:rsidRPr="00CC4E81">
        <w:rPr>
          <w:rFonts w:ascii="Times New Roman" w:eastAsia="Garamond" w:hAnsi="Times New Roman" w:cs="Times New Roman"/>
          <w14:ligatures w14:val="standard"/>
        </w:rPr>
        <w:lastRenderedPageBreak/>
        <w:t xml:space="preserve">an annual plan to assess the most effective use of its resources </w:t>
      </w:r>
      <w:r w:rsidR="006C2DA6" w:rsidRPr="00CC4E81">
        <w:rPr>
          <w:rFonts w:ascii="Times New Roman" w:eastAsia="Garamond" w:hAnsi="Times New Roman" w:cs="Times New Roman"/>
          <w14:ligatures w14:val="standard"/>
        </w:rPr>
        <w:t>to</w:t>
      </w:r>
      <w:r w:rsidRPr="00CC4E81">
        <w:rPr>
          <w:rFonts w:ascii="Times New Roman" w:eastAsia="Garamond" w:hAnsi="Times New Roman" w:cs="Times New Roman"/>
          <w14:ligatures w14:val="standard"/>
        </w:rPr>
        <w:t xml:space="preserve"> </w:t>
      </w:r>
      <w:r w:rsidR="006C2DA6" w:rsidRPr="00CC4E81">
        <w:rPr>
          <w:rFonts w:ascii="Times New Roman" w:eastAsia="Garamond" w:hAnsi="Times New Roman" w:cs="Times New Roman"/>
          <w14:ligatures w14:val="standard"/>
        </w:rPr>
        <w:t>ensure</w:t>
      </w:r>
      <w:r w:rsidRPr="00CC4E81">
        <w:rPr>
          <w:rFonts w:ascii="Times New Roman" w:eastAsia="Garamond" w:hAnsi="Times New Roman" w:cs="Times New Roman"/>
          <w14:ligatures w14:val="standard"/>
        </w:rPr>
        <w:t xml:space="preserve"> public safety and</w:t>
      </w:r>
      <w:r w:rsidR="006C2DA6" w:rsidRPr="00CC4E81">
        <w:rPr>
          <w:rFonts w:ascii="Times New Roman" w:eastAsia="Garamond" w:hAnsi="Times New Roman" w:cs="Times New Roman"/>
          <w14:ligatures w14:val="standard"/>
        </w:rPr>
        <w:t xml:space="preserve"> to</w:t>
      </w:r>
      <w:r w:rsidRPr="00CC4E81">
        <w:rPr>
          <w:rFonts w:ascii="Times New Roman" w:eastAsia="Garamond" w:hAnsi="Times New Roman" w:cs="Times New Roman"/>
          <w14:ligatures w14:val="standard"/>
        </w:rPr>
        <w:t xml:space="preserve"> minimize environmental damage </w:t>
      </w:r>
      <w:r w:rsidR="003C5338" w:rsidRPr="00CC4E81">
        <w:rPr>
          <w:rFonts w:ascii="Times New Roman" w:eastAsia="Garamond" w:hAnsi="Times New Roman" w:cs="Times New Roman"/>
          <w14:ligatures w14:val="standard"/>
        </w:rPr>
        <w:fldChar w:fldCharType="begin"/>
      </w:r>
      <w:r w:rsidR="003C5338" w:rsidRPr="00CC4E81">
        <w:rPr>
          <w:rFonts w:ascii="Times New Roman" w:eastAsia="Garamond" w:hAnsi="Times New Roman" w:cs="Times New Roman"/>
          <w14:ligatures w14:val="standard"/>
        </w:rPr>
        <w:instrText xml:space="preserve"> ADDIN ZOTERO_ITEM CSL_CITATION {"citationID":"6Z2zBtFe","properties":{"formattedCitation":"(RRC 2025)","plainCitation":"(RRC 2025)","noteIndex":0},"citationItems":[{"id":1816,"uris":["http://zotero.org/users/3682065/items/STIC38CH"],"itemData":{"id":1816,"type":"webpage","container-title":"Railroad Commission of Texas","genre":"Government Press Release","title":"Federally Funded Well plugging","URL":"https://www.rrc.texas.gov/oil-and-gas/environmental-cleanup-programs/federally-funded-well-plugging/","author":[{"literal":"RRC"}],"accessed":{"date-parts":[["2025",5,26]]},"issued":{"date-parts":[["2025"]]}}}],"schema":"https://github.com/citation-style-language/schema/raw/master/csl-citation.json"} </w:instrText>
      </w:r>
      <w:r w:rsidR="003C5338" w:rsidRPr="00CC4E81">
        <w:rPr>
          <w:rFonts w:ascii="Times New Roman" w:eastAsia="Garamond" w:hAnsi="Times New Roman" w:cs="Times New Roman"/>
          <w14:ligatures w14:val="standard"/>
        </w:rPr>
        <w:fldChar w:fldCharType="separate"/>
      </w:r>
      <w:r w:rsidR="003C5338" w:rsidRPr="00CC4E81">
        <w:rPr>
          <w:rFonts w:ascii="Times New Roman" w:hAnsi="Times New Roman" w:cs="Times New Roman"/>
        </w:rPr>
        <w:t>(RRC 2025)</w:t>
      </w:r>
      <w:r w:rsidR="003C5338" w:rsidRPr="00CC4E81">
        <w:rPr>
          <w:rFonts w:ascii="Times New Roman" w:eastAsia="Garamond" w:hAnsi="Times New Roman" w:cs="Times New Roman"/>
          <w14:ligatures w14:val="standard"/>
        </w:rPr>
        <w:fldChar w:fldCharType="end"/>
      </w:r>
      <w:r w:rsidRPr="00CC4E81">
        <w:rPr>
          <w:rFonts w:ascii="Times New Roman" w:eastAsia="Garamond" w:hAnsi="Times New Roman" w:cs="Times New Roman"/>
          <w14:ligatures w14:val="standard"/>
        </w:rPr>
        <w:t xml:space="preserve">. </w:t>
      </w:r>
      <w:r w:rsidR="006C2DA6" w:rsidRPr="00CC4E81">
        <w:rPr>
          <w:rFonts w:ascii="Times New Roman" w:eastAsia="Garamond" w:hAnsi="Times New Roman" w:cs="Times New Roman"/>
          <w14:ligatures w14:val="standard"/>
        </w:rPr>
        <w:t>Another possibility is that</w:t>
      </w:r>
      <w:r w:rsidR="00B53026" w:rsidRPr="00CC4E81">
        <w:rPr>
          <w:rFonts w:ascii="Times New Roman" w:eastAsia="Garamond" w:hAnsi="Times New Roman" w:cs="Times New Roman"/>
          <w14:ligatures w14:val="standard"/>
        </w:rPr>
        <w:t xml:space="preserve"> by making violation data public, the RRC is seeking to enhance its reputation among the public and/or state lawmakers (RRC commissioners are elected) and/or avoid adverse publicity </w:t>
      </w:r>
      <w:r w:rsidR="00B53026" w:rsidRPr="00CC4E81">
        <w:rPr>
          <w:rFonts w:ascii="Times New Roman" w:hAnsi="Times New Roman" w:cs="Times New Roman"/>
        </w:rPr>
        <w:fldChar w:fldCharType="begin"/>
      </w:r>
      <w:r w:rsidR="003B0A34" w:rsidRPr="00CC4E81">
        <w:rPr>
          <w:rFonts w:ascii="Times New Roman" w:eastAsia="Garamond" w:hAnsi="Times New Roman" w:cs="Times New Roman"/>
        </w:rPr>
        <w:instrText xml:space="preserve"> ADDIN ZOTERO_ITEM CSL_CITATION {"citationID":"XfRPuJD6","properties":{"formattedCitation":"(Li 2023; Moynihan and Hawes 2012)","plainCitation":"(Li 2023; Moynihan and Hawes 2012)","noteIndex":0},"citationItems":[{"id":1747,"uris":["http://zotero.org/users/3682065/items/7CJM9QIP"],"itemData":{"id":1747,"type":"article-journal","abstract":"Abstract\n            Information disclosure has become a ubiquitous component of contemporary governance. This study examines how disclosure of information about the performance of regulated entities, which also implicates the performance of relevant government agencies, affects bureaucratic behaviors. In the context of the Clean Air Act (CAA)—the primary law that regulates air pollution in the United States—this study shows that regulators significantly increased CAA regulatory inspections on facilities that started to disclose relevant performance information to the public following the requirements of the Toxics Release Inventory (TRI), which is a major environmental information disclosure program in the United States. Additional analyses suggest the increase was because of the disclosure providing new information to regulators instead of mobilizing citizen actions. The findings suggest that performance information about regulated entities can alleviate information asymmetry between bureaucrats and regulated entities and increase the accountability of regulated entities as well as relevant government agencies.","container-title":"Public Administration Review","DOI":"10.1111/puar.13636","ISSN":"0033-3352, 1540-6210","issue":"4","journalAbbreviation":"Public Administration Review","language":"en","page":"750-762","source":"DOI.org (Crossref)","title":"Bureaucratic response to performance information: how mandatory information disclosure affects environmental inspections","title-short":"Bureaucratic response to performance information","volume":"83","author":[{"family":"Li","given":"Zhengyan"}],"issued":{"date-parts":[["2023",7]]}}},{"id":1791,"uris":["http://zotero.org/users/3682065/items/RXYFYCGI"],"itemData":{"id":1791,"type":"article-journal","abstract":"Administrative reforms encode a set of behavioral expectations for bureaucrats to follow. The authors argue that scholars can usefully contribute to understanding accountability by studying whether bureaucrats follow these expectations and what factors encourage such responsiveness to reform values. To demonstrate this approach, the authors examine performance infor‐mation use as a behavioral measure of responsiveness to results‐based reforms. Using a sample of Texas school superintendents, they find that general openness to the environment goes hand in hand with responsiveness to reform values. The authors propose that such a pattern will hold when reform values align with environmental preferences. The perceived influence of stakeholders, networking with stakeholders, and reliance on partnerships all positively predict performance information use. Environments marked by student diversity and stakeholder conflict also correlate with higher use of performance data, while capacity, less managerial experience, and a unified organizational culture correlate positively with higher reported performance information use.","container-title":"Public Administration Review","DOI":"10.1111/j.1540-6210.2012.02653.x","ISSN":"0033-3352, 1540-6210","issue":"s1","journalAbbreviation":"Public Administration Review","language":"en","license":"http://onlinelibrary.wiley.com/termsAndConditions#vor","source":"DOI.org (Crossref)","title":"Responsiveness to Reform Values: The Influence of the Environment on Performance Information Use","title-short":"Responsiveness to Reform Values","URL":"https://onlinelibrary.wiley.com/doi/10.1111/j.1540-6210.2012.02653.x","volume":"72","author":[{"family":"Moynihan","given":"D. P."},{"family":"Hawes","given":"D. P."}],"accessed":{"date-parts":[["2025",4,5]]},"issued":{"date-parts":[["2012",11]]}}}],"schema":"https://github.com/citation-style-language/schema/raw/master/csl-citation.json"} </w:instrText>
      </w:r>
      <w:r w:rsidR="00B53026" w:rsidRPr="00CC4E81">
        <w:rPr>
          <w:rFonts w:ascii="Times New Roman" w:eastAsia="Garamond" w:hAnsi="Times New Roman" w:cs="Times New Roman"/>
        </w:rPr>
        <w:fldChar w:fldCharType="separate"/>
      </w:r>
      <w:r w:rsidR="00B80B38" w:rsidRPr="00CC4E81">
        <w:rPr>
          <w:rFonts w:ascii="Times New Roman" w:hAnsi="Times New Roman" w:cs="Times New Roman"/>
        </w:rPr>
        <w:t>(Li 2023; Moynihan and Hawes 2012)</w:t>
      </w:r>
      <w:r w:rsidR="00B53026" w:rsidRPr="00CC4E81">
        <w:rPr>
          <w:rFonts w:ascii="Times New Roman" w:eastAsia="Garamond" w:hAnsi="Times New Roman" w:cs="Times New Roman"/>
        </w:rPr>
        <w:fldChar w:fldCharType="end"/>
      </w:r>
      <w:r w:rsidR="00B53026" w:rsidRPr="00CC4E81">
        <w:rPr>
          <w:rFonts w:ascii="Times New Roman" w:eastAsia="Garamond" w:hAnsi="Times New Roman" w:cs="Times New Roman"/>
          <w14:ligatures w14:val="standard"/>
        </w:rPr>
        <w:t xml:space="preserve">. </w:t>
      </w:r>
      <w:r w:rsidRPr="00CC4E81">
        <w:rPr>
          <w:rFonts w:ascii="Times New Roman" w:eastAsia="Garamond" w:hAnsi="Times New Roman" w:cs="Times New Roman"/>
          <w14:ligatures w14:val="standard"/>
        </w:rPr>
        <w:t xml:space="preserve">We also consider the possibility that, by  making violation data public, the RRC aims to promote transparency and improve public trust in its enforcement of applicable rules and performance standards </w:t>
      </w:r>
      <w:r w:rsidRPr="00CC4E81">
        <w:rPr>
          <w:rFonts w:ascii="Times New Roman" w:hAnsi="Times New Roman" w:cs="Times New Roman"/>
        </w:rPr>
        <w:fldChar w:fldCharType="begin"/>
      </w:r>
      <w:r w:rsidR="003B0A34" w:rsidRPr="00CC4E81">
        <w:rPr>
          <w:rFonts w:ascii="Times New Roman" w:eastAsia="Garamond" w:hAnsi="Times New Roman" w:cs="Times New Roman"/>
        </w:rPr>
        <w:instrText xml:space="preserve"> ADDIN ZOTERO_ITEM CSL_CITATION {"citationID":"phx8arQh","properties":{"formattedCitation":"(Abel, Stephan, and Kraft 2007; Li 2023)","plainCitation":"(Abel, Stephan, and Kraft 2007; Li 2023)","noteIndex":0},"citationItems":[{"id":1422,"uris":["http://zotero.org/users/3682065/items/CMBBFK3K"],"itemData":{"id":1422,"type":"article-journal","container-title":"State and Local Government Review","DOI":"10.1177/0160323X0703900304","ISSN":"0160-323X, 1943-3409","issue":"3","journalAbbreviation":"State and Local Government Review","language":"English","page":"153-165","source":"DOI.org (Crossref)","title":"Environmental Information Disclosure and Risk Reduction among the States","volume":"39","author":[{"family":"Abel","given":"Troy D."},{"family":"Stephan","given":"Mark"},{"family":"Kraft","given":"Michael E."}],"issued":{"date-parts":[["2007",9]]}}},{"id":1747,"uris":["http://zotero.org/users/3682065/items/7CJM9QIP"],"itemData":{"id":1747,"type":"article-journal","abstract":"Abstract\n            Information disclosure has become a ubiquitous component of contemporary governance. This study examines how disclosure of information about the performance of regulated entities, which also implicates the performance of relevant government agencies, affects bureaucratic behaviors. In the context of the Clean Air Act (CAA)—the primary law that regulates air pollution in the United States—this study shows that regulators significantly increased CAA regulatory inspections on facilities that started to disclose relevant performance information to the public following the requirements of the Toxics Release Inventory (TRI), which is a major environmental information disclosure program in the United States. Additional analyses suggest the increase was because of the disclosure providing new information to regulators instead of mobilizing citizen actions. The findings suggest that performance information about regulated entities can alleviate information asymmetry between bureaucrats and regulated entities and increase the accountability of regulated entities as well as relevant government agencies.","container-title":"Public Administration Review","DOI":"10.1111/puar.13636","ISSN":"0033-3352, 1540-6210","issue":"4","journalAbbreviation":"Public Administration Review","language":"en","page":"750-762","source":"DOI.org (Crossref)","title":"Bureaucratic response to performance information: how mandatory information disclosure affects environmental inspections","title-short":"Bureaucratic response to performance information","volume":"83","author":[{"family":"Li","given":"Zhengyan"}],"issued":{"date-parts":[["2023",7]]}}}],"schema":"https://github.com/citation-style-language/schema/raw/master/csl-citation.json"} </w:instrText>
      </w:r>
      <w:r w:rsidRPr="00CC4E81">
        <w:rPr>
          <w:rFonts w:ascii="Times New Roman" w:eastAsia="Garamond" w:hAnsi="Times New Roman" w:cs="Times New Roman"/>
        </w:rPr>
        <w:fldChar w:fldCharType="separate"/>
      </w:r>
      <w:r w:rsidRPr="00CC4E81">
        <w:rPr>
          <w:rFonts w:ascii="Times New Roman" w:hAnsi="Times New Roman" w:cs="Times New Roman"/>
        </w:rPr>
        <w:t>(Abel, Stephan, and Kraft 2007; Li 2023)</w:t>
      </w:r>
      <w:r w:rsidRPr="00CC4E81">
        <w:rPr>
          <w:rFonts w:ascii="Times New Roman" w:eastAsia="Garamond" w:hAnsi="Times New Roman" w:cs="Times New Roman"/>
        </w:rPr>
        <w:fldChar w:fldCharType="end"/>
      </w:r>
      <w:r w:rsidRPr="00CC4E81">
        <w:rPr>
          <w:rFonts w:ascii="Times New Roman" w:eastAsia="Garamond" w:hAnsi="Times New Roman" w:cs="Times New Roman"/>
          <w14:ligatures w14:val="standard"/>
        </w:rPr>
        <w:t xml:space="preserve">. A final </w:t>
      </w:r>
      <w:r w:rsidR="00C46C81" w:rsidRPr="00CC4E81">
        <w:rPr>
          <w:rFonts w:ascii="Times New Roman" w:eastAsia="Garamond" w:hAnsi="Times New Roman" w:cs="Times New Roman"/>
          <w14:ligatures w14:val="standard"/>
        </w:rPr>
        <w:t xml:space="preserve">possibility </w:t>
      </w:r>
      <w:r w:rsidRPr="00CC4E81">
        <w:rPr>
          <w:rFonts w:ascii="Times New Roman" w:eastAsia="Garamond" w:hAnsi="Times New Roman" w:cs="Times New Roman"/>
          <w14:ligatures w14:val="standard"/>
        </w:rPr>
        <w:t xml:space="preserve">is that RRC performance improvements were designed to suppress support for more meaningful changes in how Texas enforces its oil and gas laws. As Fisk and Good </w:t>
      </w:r>
      <w:r w:rsidRPr="00CC4E81">
        <w:rPr>
          <w:rFonts w:ascii="Times New Roman" w:hAnsi="Times New Roman" w:cs="Times New Roman"/>
        </w:rPr>
        <w:fldChar w:fldCharType="begin"/>
      </w:r>
      <w:r w:rsidR="003B0A34" w:rsidRPr="00CC4E81">
        <w:rPr>
          <w:rFonts w:ascii="Times New Roman" w:eastAsia="Garamond" w:hAnsi="Times New Roman" w:cs="Times New Roman"/>
        </w:rPr>
        <w:instrText xml:space="preserve"> ADDIN ZOTERO_ITEM CSL_CITATION {"citationID":"BHRtrtpi","properties":{"formattedCitation":"(2019)","plainCitation":"(2019)","noteIndex":0},"citationItems":[{"id":1740,"uris":["http://zotero.org/users/3682065/items/6GRRL2BG"],"itemData":{"id":1740,"type":"article-journal","container-title":"Energy Policy","DOI":"10.1016/j.enpol.2018.12.032","ISSN":"03014215","journalAbbreviation":"Energy Policy","language":"English","page":"374-381","source":"DOI.org (Crossref)","title":"Information booms and busts: Examining oil and gas disclosure policies across the states","title-short":"Information booms and busts","volume":"127","author":[{"family":"Fisk","given":"Jonathan M."},{"family":"Good","given":"A.J."}],"issued":{"date-parts":[["2019",4]]}},"suppress-author":true}],"schema":"https://github.com/citation-style-language/schema/raw/master/csl-citation.json"} </w:instrText>
      </w:r>
      <w:r w:rsidRPr="00CC4E81">
        <w:rPr>
          <w:rFonts w:ascii="Times New Roman" w:eastAsia="Garamond" w:hAnsi="Times New Roman" w:cs="Times New Roman"/>
        </w:rPr>
        <w:fldChar w:fldCharType="separate"/>
      </w:r>
      <w:r w:rsidRPr="00CC4E81">
        <w:rPr>
          <w:rFonts w:ascii="Times New Roman" w:hAnsi="Times New Roman" w:cs="Times New Roman"/>
        </w:rPr>
        <w:t>(2019)</w:t>
      </w:r>
      <w:r w:rsidRPr="00CC4E81">
        <w:rPr>
          <w:rFonts w:ascii="Times New Roman" w:eastAsia="Garamond" w:hAnsi="Times New Roman" w:cs="Times New Roman"/>
        </w:rPr>
        <w:fldChar w:fldCharType="end"/>
      </w:r>
      <w:r w:rsidRPr="00CC4E81">
        <w:rPr>
          <w:rFonts w:ascii="Times New Roman" w:eastAsia="Garamond" w:hAnsi="Times New Roman" w:cs="Times New Roman"/>
          <w14:ligatures w14:val="standard"/>
        </w:rPr>
        <w:t xml:space="preserve"> noted, disclosure does not change the rules but can be used strategically to preclude calls for stricter oversight. </w:t>
      </w:r>
    </w:p>
    <w:p w14:paraId="4A2D873C" w14:textId="77777777" w:rsidR="00500C0B" w:rsidRPr="00CC4E81" w:rsidRDefault="00ED02EB">
      <w:pPr>
        <w:pStyle w:val="BodyText"/>
        <w:spacing w:before="0" w:after="0" w:line="480" w:lineRule="auto"/>
        <w:ind w:right="-14"/>
        <w:rPr>
          <w:rFonts w:ascii="Times New Roman" w:eastAsia="Garamond" w:hAnsi="Times New Roman" w:cs="Times New Roman"/>
          <w14:ligatures w14:val="standard"/>
        </w:rPr>
      </w:pPr>
      <w:r w:rsidRPr="00CC4E81">
        <w:rPr>
          <w:rFonts w:ascii="Times New Roman" w:eastAsia="Garamond" w:hAnsi="Times New Roman" w:cs="Times New Roman"/>
          <w:i/>
          <w:iCs/>
          <w14:ligatures w14:val="standard"/>
        </w:rPr>
        <w:t>Administrative Actions</w:t>
      </w:r>
    </w:p>
    <w:p w14:paraId="4FA9E5B5" w14:textId="61E3A42C" w:rsidR="00500C0B" w:rsidRPr="00CC4E81" w:rsidRDefault="00ED02EB">
      <w:pPr>
        <w:pStyle w:val="BodyText"/>
        <w:spacing w:before="0" w:after="0" w:line="480" w:lineRule="auto"/>
        <w:ind w:right="-14" w:firstLine="720"/>
        <w:rPr>
          <w:rFonts w:ascii="Times New Roman" w:hAnsi="Times New Roman" w:cs="Times New Roman"/>
          <w14:ligatures w14:val="standard"/>
        </w:rPr>
      </w:pPr>
      <w:r w:rsidRPr="00CC4E81">
        <w:rPr>
          <w:rFonts w:ascii="Times New Roman" w:hAnsi="Times New Roman" w:cs="Times New Roman"/>
          <w14:ligatures w14:val="standard"/>
        </w:rPr>
        <w:t>We also assessed the impact of the 2019 change on RRC</w:t>
      </w:r>
      <w:r w:rsidR="00482F23" w:rsidRPr="00CC4E81">
        <w:rPr>
          <w:rFonts w:ascii="Times New Roman" w:hAnsi="Times New Roman" w:cs="Times New Roman"/>
          <w14:ligatures w14:val="standard"/>
        </w:rPr>
        <w:t xml:space="preserve">’s use of </w:t>
      </w:r>
      <w:r w:rsidRPr="00CC4E81">
        <w:rPr>
          <w:rFonts w:ascii="Times New Roman" w:hAnsi="Times New Roman" w:cs="Times New Roman"/>
          <w14:ligatures w14:val="standard"/>
        </w:rPr>
        <w:t xml:space="preserve">specific administrative actions. Not all regulatory responses are equal, with some requiring the RRC to compel operator action and others merely notifying the operator of a violation. Consistent with </w:t>
      </w:r>
      <w:r w:rsidR="00482F23" w:rsidRPr="00CC4E81">
        <w:rPr>
          <w:rFonts w:ascii="Times New Roman" w:hAnsi="Times New Roman" w:cs="Times New Roman"/>
          <w14:ligatures w14:val="standard"/>
        </w:rPr>
        <w:t>our</w:t>
      </w:r>
      <w:r w:rsidRPr="00CC4E81">
        <w:rPr>
          <w:rFonts w:ascii="Times New Roman" w:hAnsi="Times New Roman" w:cs="Times New Roman"/>
          <w14:ligatures w14:val="standard"/>
        </w:rPr>
        <w:t xml:space="preserve"> hypothes</w:t>
      </w:r>
      <w:r w:rsidR="00482F23" w:rsidRPr="00CC4E81">
        <w:rPr>
          <w:rFonts w:ascii="Times New Roman" w:hAnsi="Times New Roman" w:cs="Times New Roman"/>
          <w14:ligatures w14:val="standard"/>
        </w:rPr>
        <w:t>es</w:t>
      </w:r>
      <w:r w:rsidRPr="00CC4E81">
        <w:rPr>
          <w:rFonts w:ascii="Times New Roman" w:hAnsi="Times New Roman" w:cs="Times New Roman"/>
          <w14:ligatures w14:val="standard"/>
        </w:rPr>
        <w:t xml:space="preserve">, results are mixed. For example, while the number of ‘Notices of Violation’ and the number of referrals to Austin Field Operations for possible legal action decreased, the number of referrals to the State-Managed Cleanup Program and the number of referrals to State-Managed Plugging increased. </w:t>
      </w:r>
      <w:r w:rsidR="00C46C81" w:rsidRPr="00CC4E81">
        <w:rPr>
          <w:rFonts w:ascii="Times New Roman" w:hAnsi="Times New Roman" w:cs="Times New Roman"/>
          <w14:ligatures w14:val="standard"/>
        </w:rPr>
        <w:t>O</w:t>
      </w:r>
      <w:r w:rsidRPr="00CC4E81">
        <w:rPr>
          <w:rFonts w:ascii="Times New Roman" w:hAnsi="Times New Roman" w:cs="Times New Roman"/>
          <w14:ligatures w14:val="standard"/>
        </w:rPr>
        <w:t>ther administrative actions showed no significant change pre- or post-2019 policy change.</w:t>
      </w:r>
    </w:p>
    <w:p w14:paraId="43DE3396" w14:textId="364FEBEC" w:rsidR="00500C0B" w:rsidRPr="00CC4E81" w:rsidRDefault="00482F23">
      <w:pPr>
        <w:pStyle w:val="BodyText"/>
        <w:spacing w:before="0" w:after="0" w:line="480" w:lineRule="auto"/>
        <w:ind w:right="-14" w:firstLine="720"/>
        <w:rPr>
          <w:rFonts w:ascii="Times New Roman" w:hAnsi="Times New Roman" w:cs="Times New Roman"/>
          <w14:ligatures w14:val="standard"/>
        </w:rPr>
      </w:pPr>
      <w:r w:rsidRPr="00CC4E81">
        <w:rPr>
          <w:rFonts w:ascii="Times New Roman" w:hAnsi="Times New Roman" w:cs="Times New Roman"/>
          <w14:ligatures w14:val="standard"/>
        </w:rPr>
        <w:t>Our next</w:t>
      </w:r>
      <w:r w:rsidR="00ED02EB" w:rsidRPr="00CC4E81">
        <w:rPr>
          <w:rFonts w:ascii="Times New Roman" w:hAnsi="Times New Roman" w:cs="Times New Roman"/>
          <w14:ligatures w14:val="standard"/>
        </w:rPr>
        <w:t xml:space="preserve"> critical question </w:t>
      </w:r>
      <w:r w:rsidRPr="00CC4E81">
        <w:rPr>
          <w:rFonts w:ascii="Times New Roman" w:hAnsi="Times New Roman" w:cs="Times New Roman"/>
          <w14:ligatures w14:val="standard"/>
        </w:rPr>
        <w:t>asks</w:t>
      </w:r>
      <w:r w:rsidR="00ED02EB" w:rsidRPr="00CC4E81">
        <w:rPr>
          <w:rFonts w:ascii="Times New Roman" w:hAnsi="Times New Roman" w:cs="Times New Roman"/>
          <w14:ligatures w14:val="standard"/>
        </w:rPr>
        <w:t xml:space="preserve"> why some performance elements increased while others decreased. Several possibilities exist. First, we recognize that the decrease in notices of violation (NOVs) is surprising, as this option serves to notify operators of violations</w:t>
      </w:r>
      <w:r w:rsidR="00C46C81" w:rsidRPr="00CC4E81">
        <w:rPr>
          <w:rFonts w:ascii="Times New Roman" w:hAnsi="Times New Roman" w:cs="Times New Roman"/>
          <w14:ligatures w14:val="standard"/>
        </w:rPr>
        <w:t xml:space="preserve"> and provides the operator time to resolve the violation</w:t>
      </w:r>
      <w:r w:rsidRPr="00CC4E81">
        <w:rPr>
          <w:rFonts w:ascii="Times New Roman" w:hAnsi="Times New Roman" w:cs="Times New Roman"/>
          <w14:ligatures w14:val="standard"/>
        </w:rPr>
        <w:t xml:space="preserve"> – but perhaps these actions are not as salient to the public </w:t>
      </w:r>
      <w:r w:rsidRPr="00CC4E81">
        <w:rPr>
          <w:rFonts w:ascii="Times New Roman" w:hAnsi="Times New Roman" w:cs="Times New Roman"/>
          <w14:ligatures w14:val="standard"/>
        </w:rPr>
        <w:lastRenderedPageBreak/>
        <w:t>or lawmakers as others</w:t>
      </w:r>
      <w:r w:rsidR="00C46C81" w:rsidRPr="00CC4E81">
        <w:rPr>
          <w:rFonts w:ascii="Times New Roman" w:hAnsi="Times New Roman" w:cs="Times New Roman"/>
          <w14:ligatures w14:val="standard"/>
        </w:rPr>
        <w:t>.</w:t>
      </w:r>
      <w:r w:rsidR="00ED02EB" w:rsidRPr="00CC4E81">
        <w:rPr>
          <w:rFonts w:ascii="Times New Roman" w:hAnsi="Times New Roman" w:cs="Times New Roman"/>
          <w14:ligatures w14:val="standard"/>
        </w:rPr>
        <w:t xml:space="preserve"> Second, the RRC may focus more on broader</w:t>
      </w:r>
      <w:r w:rsidR="00C46C81" w:rsidRPr="00CC4E81">
        <w:rPr>
          <w:rFonts w:ascii="Times New Roman" w:hAnsi="Times New Roman" w:cs="Times New Roman"/>
          <w14:ligatures w14:val="standard"/>
        </w:rPr>
        <w:t xml:space="preserve"> </w:t>
      </w:r>
      <w:r w:rsidRPr="00CC4E81">
        <w:rPr>
          <w:rFonts w:ascii="Times New Roman" w:hAnsi="Times New Roman" w:cs="Times New Roman"/>
          <w14:ligatures w14:val="standard"/>
        </w:rPr>
        <w:t xml:space="preserve">or easier to understand </w:t>
      </w:r>
      <w:r w:rsidR="00ED02EB" w:rsidRPr="00CC4E81">
        <w:rPr>
          <w:rFonts w:ascii="Times New Roman" w:hAnsi="Times New Roman" w:cs="Times New Roman"/>
          <w14:ligatures w14:val="standard"/>
        </w:rPr>
        <w:t xml:space="preserve">performance measures, like the number of inspections or violations, rather than specific actions. Additionally, RRC personnel might have shifted from issuing NOVs to resolving violations informally. The agency's 2024 annual report noted that some violations could be resolved quickly via phone rather than through formal notifications </w:t>
      </w:r>
      <w:r w:rsidR="00CA7827" w:rsidRPr="00CC4E81">
        <w:rPr>
          <w:rFonts w:ascii="Times New Roman" w:hAnsi="Times New Roman" w:cs="Times New Roman"/>
          <w14:ligatures w14:val="standard"/>
        </w:rPr>
        <w:fldChar w:fldCharType="begin"/>
      </w:r>
      <w:r w:rsidR="00CA7827" w:rsidRPr="00CC4E81">
        <w:rPr>
          <w:rFonts w:ascii="Times New Roman" w:hAnsi="Times New Roman" w:cs="Times New Roman"/>
          <w14:ligatures w14:val="standard"/>
        </w:rPr>
        <w:instrText xml:space="preserve"> ADDIN ZOTERO_ITEM CSL_CITATION {"citationID":"lSfIMk4v","properties":{"formattedCitation":"(RRC 2022, 12)","plainCitation":"(RRC 2022, 12)","noteIndex":0},"citationItems":[{"id":1818,"uris":["http://zotero.org/users/3682065/items/7J86BRQS"],"itemData":{"id":1818,"type":"document","publisher":"Railroad Commission of Texas","title":"Oil &amp; Gas Monitoring &amp; Enforcement Plan | Fiscal Year 2023","author":[{"literal":"RRC"}],"issued":{"date-parts":[["2022",4,8]]}},"locator":"12","label":"page"}],"schema":"https://github.com/citation-style-language/schema/raw/master/csl-citation.json"} </w:instrText>
      </w:r>
      <w:r w:rsidR="00CA7827" w:rsidRPr="00CC4E81">
        <w:rPr>
          <w:rFonts w:ascii="Times New Roman" w:hAnsi="Times New Roman" w:cs="Times New Roman"/>
          <w14:ligatures w14:val="standard"/>
        </w:rPr>
        <w:fldChar w:fldCharType="separate"/>
      </w:r>
      <w:r w:rsidR="00CA7827" w:rsidRPr="00CC4E81">
        <w:rPr>
          <w:rFonts w:ascii="Times New Roman" w:hAnsi="Times New Roman" w:cs="Times New Roman"/>
        </w:rPr>
        <w:t>(RRC 2022, 12)</w:t>
      </w:r>
      <w:r w:rsidR="00CA7827" w:rsidRPr="00CC4E81">
        <w:rPr>
          <w:rFonts w:ascii="Times New Roman" w:hAnsi="Times New Roman" w:cs="Times New Roman"/>
          <w14:ligatures w14:val="standard"/>
        </w:rPr>
        <w:fldChar w:fldCharType="end"/>
      </w:r>
      <w:r w:rsidR="002055A1" w:rsidRPr="00CC4E81">
        <w:rPr>
          <w:rFonts w:ascii="Times New Roman" w:hAnsi="Times New Roman" w:cs="Times New Roman"/>
          <w14:ligatures w14:val="standard"/>
        </w:rPr>
        <w:t xml:space="preserve">. </w:t>
      </w:r>
      <w:r w:rsidR="00ED02EB" w:rsidRPr="00CC4E81">
        <w:rPr>
          <w:rFonts w:ascii="Times New Roman" w:hAnsi="Times New Roman" w:cs="Times New Roman"/>
          <w14:ligatures w14:val="standard"/>
        </w:rPr>
        <w:t>Finally, changes in administrative performance for state-managed plugging programs may be influenced by federal funding. In August 2022, Texas received $25 million in grants from the Infrastructure Investment and Jobs Act (IIJA) to reclaim orphaned wells on private or state-owned lands</w:t>
      </w:r>
      <w:r w:rsidR="003F1CB9" w:rsidRPr="00CC4E81">
        <w:rPr>
          <w:rFonts w:ascii="Times New Roman" w:hAnsi="Times New Roman" w:cs="Times New Roman"/>
          <w14:ligatures w14:val="standard"/>
        </w:rPr>
        <w:t xml:space="preserve"> </w:t>
      </w:r>
      <w:r w:rsidR="003B0A34" w:rsidRPr="00CC4E81">
        <w:rPr>
          <w:rFonts w:ascii="Times New Roman" w:hAnsi="Times New Roman" w:cs="Times New Roman"/>
          <w14:ligatures w14:val="standard"/>
        </w:rPr>
        <w:fldChar w:fldCharType="begin"/>
      </w:r>
      <w:r w:rsidR="003B0A34" w:rsidRPr="00CC4E81">
        <w:rPr>
          <w:rFonts w:ascii="Times New Roman" w:hAnsi="Times New Roman" w:cs="Times New Roman"/>
          <w14:ligatures w14:val="standard"/>
        </w:rPr>
        <w:instrText xml:space="preserve"> ADDIN ZOTERO_ITEM CSL_CITATION {"citationID":"26kwfMfV","properties":{"formattedCitation":"(RRC 2025)","plainCitation":"(RRC 2025)","noteIndex":0},"citationItems":[{"id":1816,"uris":["http://zotero.org/users/3682065/items/STIC38CH"],"itemData":{"id":1816,"type":"webpage","container-title":"Railroad Commission of Texas","genre":"Government Press Release","title":"Federally Funded Well plugging","URL":"https://www.rrc.texas.gov/oil-and-gas/environmental-cleanup-programs/federally-funded-well-plugging/","author":[{"literal":"RRC"}],"accessed":{"date-parts":[["2025",5,26]]},"issued":{"date-parts":[["2025"]]}}}],"schema":"https://github.com/citation-style-language/schema/raw/master/csl-citation.json"} </w:instrText>
      </w:r>
      <w:r w:rsidR="003B0A34" w:rsidRPr="00CC4E81">
        <w:rPr>
          <w:rFonts w:ascii="Times New Roman" w:hAnsi="Times New Roman" w:cs="Times New Roman"/>
          <w14:ligatures w14:val="standard"/>
        </w:rPr>
        <w:fldChar w:fldCharType="separate"/>
      </w:r>
      <w:r w:rsidR="003B0A34" w:rsidRPr="00CC4E81">
        <w:rPr>
          <w:rFonts w:ascii="Times New Roman" w:hAnsi="Times New Roman" w:cs="Times New Roman"/>
        </w:rPr>
        <w:t>(RRC 2025)</w:t>
      </w:r>
      <w:r w:rsidR="003B0A34" w:rsidRPr="00CC4E81">
        <w:rPr>
          <w:rFonts w:ascii="Times New Roman" w:hAnsi="Times New Roman" w:cs="Times New Roman"/>
          <w14:ligatures w14:val="standard"/>
        </w:rPr>
        <w:fldChar w:fldCharType="end"/>
      </w:r>
      <w:r w:rsidR="004A475E" w:rsidRPr="00CC4E81">
        <w:rPr>
          <w:rFonts w:ascii="Times New Roman" w:hAnsi="Times New Roman" w:cs="Times New Roman"/>
          <w14:ligatures w14:val="standard"/>
        </w:rPr>
        <w:t>,</w:t>
      </w:r>
      <w:r w:rsidR="00ED02EB" w:rsidRPr="00CC4E81">
        <w:rPr>
          <w:rFonts w:ascii="Times New Roman" w:hAnsi="Times New Roman" w:cs="Times New Roman"/>
          <w14:ligatures w14:val="standard"/>
        </w:rPr>
        <w:t xml:space="preserve"> with more funding received in 202</w:t>
      </w:r>
      <w:r w:rsidR="003F1CB9" w:rsidRPr="00CC4E81">
        <w:rPr>
          <w:rFonts w:ascii="Times New Roman" w:hAnsi="Times New Roman" w:cs="Times New Roman"/>
          <w14:ligatures w14:val="standard"/>
        </w:rPr>
        <w:t>4</w:t>
      </w:r>
      <w:r w:rsidR="00ED02EB" w:rsidRPr="00CC4E81">
        <w:rPr>
          <w:rFonts w:ascii="Times New Roman" w:hAnsi="Times New Roman" w:cs="Times New Roman"/>
          <w14:ligatures w14:val="standard"/>
        </w:rPr>
        <w:t>.</w:t>
      </w:r>
    </w:p>
    <w:p w14:paraId="01D868E8" w14:textId="7E2BB52B" w:rsidR="00500C0B" w:rsidRPr="00CC4E81" w:rsidRDefault="00C46C81">
      <w:pPr>
        <w:pStyle w:val="BodyText"/>
        <w:spacing w:before="0" w:after="0" w:line="480" w:lineRule="auto"/>
        <w:ind w:right="-14" w:firstLine="720"/>
        <w:rPr>
          <w:rFonts w:ascii="Times New Roman" w:hAnsi="Times New Roman" w:cs="Times New Roman"/>
        </w:rPr>
      </w:pPr>
      <w:r w:rsidRPr="00CC4E81">
        <w:rPr>
          <w:rFonts w:ascii="Times New Roman" w:hAnsi="Times New Roman" w:cs="Times New Roman"/>
          <w14:ligatures w14:val="standard"/>
        </w:rPr>
        <w:t>W</w:t>
      </w:r>
      <w:r w:rsidR="00ED02EB" w:rsidRPr="00CC4E81">
        <w:rPr>
          <w:rFonts w:ascii="Times New Roman" w:hAnsi="Times New Roman" w:cs="Times New Roman"/>
          <w14:ligatures w14:val="standard"/>
        </w:rPr>
        <w:t xml:space="preserve">e </w:t>
      </w:r>
      <w:r w:rsidRPr="00CC4E81">
        <w:rPr>
          <w:rFonts w:ascii="Times New Roman" w:hAnsi="Times New Roman" w:cs="Times New Roman"/>
          <w14:ligatures w14:val="standard"/>
        </w:rPr>
        <w:t xml:space="preserve">also </w:t>
      </w:r>
      <w:r w:rsidR="00ED02EB" w:rsidRPr="00CC4E81">
        <w:rPr>
          <w:rFonts w:ascii="Times New Roman" w:hAnsi="Times New Roman" w:cs="Times New Roman"/>
          <w14:ligatures w14:val="standard"/>
        </w:rPr>
        <w:t>conducted a supplementary spatial analysis to examine whether enforcement patterns varied along the Texas–Mexico border, where regulatory capacity and oversight may be shaped by unique administrative dynamics</w:t>
      </w:r>
      <w:r w:rsidR="00C76275" w:rsidRPr="00CC4E81">
        <w:rPr>
          <w:rFonts w:ascii="Times New Roman" w:hAnsi="Times New Roman" w:cs="Times New Roman"/>
          <w14:ligatures w14:val="standard"/>
        </w:rPr>
        <w:t xml:space="preserve"> </w:t>
      </w:r>
      <w:r w:rsidR="00F20019" w:rsidRPr="00CC4E81">
        <w:rPr>
          <w:rFonts w:ascii="Times New Roman" w:hAnsi="Times New Roman" w:cs="Times New Roman"/>
          <w14:ligatures w14:val="standard"/>
        </w:rPr>
        <w:fldChar w:fldCharType="begin"/>
      </w:r>
      <w:r w:rsidR="003B0A34" w:rsidRPr="00CC4E81">
        <w:rPr>
          <w:rFonts w:ascii="Times New Roman" w:hAnsi="Times New Roman" w:cs="Times New Roman"/>
          <w14:ligatures w14:val="standard"/>
        </w:rPr>
        <w:instrText xml:space="preserve"> ADDIN ZOTERO_ITEM CSL_CITATION {"citationID":"vyG6b0nA","properties":{"formattedCitation":"(Woods 2006)","plainCitation":"(Woods 2006)","noteIndex":0},"citationItems":[{"id":1809,"uris":["http://zotero.org/users/3682065/items/ZPNZMRR7"],"itemData":{"id":1809,"type":"article-journal","abstract":"Objective.\n              This study assesses the effect of interstate competition on the stringency with which states enforce environmental regulations.\n            \n            \n              Method.\n              Pooled cross‐sectional time‐series analysis of state surface‐mining regulation is used to determine if the enforcement gap between a state and competitor states affects the stringency of state enforcement.\n            \n            \n              Results.\n              The results suggest that state enforcement is systematically affected by the behavior of regional competitors. States adjust their enforcement in response to competitor states when their enforcement stringency exceeds that of their competitors. When competitors' enforcement is more stringent, however, their behavior does not have a significant effect.\n            \n            \n              Conclusion.\n              This study provides empirical evidence for a race to the bottom in state environmental regulation.","container-title":"Social Science Quarterly","DOI":"10.1111/j.0038-4941.2006.00375.x","ISSN":"0038-4941, 1540-6237","issue":"1","journalAbbreviation":"Social Science Quarterly","language":"en","license":"http://onlinelibrary.wiley.com/termsAndConditions#vor","page":"174-189","source":"DOI.org (Crossref)","title":"Interstate Competition and Environmental Regulation: A Test of the Race‐to‐the‐Bottom Thesis&lt;sup&gt;*&lt;/sup&gt;","title-short":"Interstate Competition and Environmental Regulation","volume":"87","author":[{"family":"Woods","given":"Neal D."}],"issued":{"date-parts":[["2006",3]]}}}],"schema":"https://github.com/citation-style-language/schema/raw/master/csl-citation.json"} </w:instrText>
      </w:r>
      <w:r w:rsidR="00F20019" w:rsidRPr="00CC4E81">
        <w:rPr>
          <w:rFonts w:ascii="Times New Roman" w:hAnsi="Times New Roman" w:cs="Times New Roman"/>
          <w14:ligatures w14:val="standard"/>
        </w:rPr>
        <w:fldChar w:fldCharType="separate"/>
      </w:r>
      <w:r w:rsidR="00F20019" w:rsidRPr="00CC4E81">
        <w:rPr>
          <w:rFonts w:ascii="Times New Roman" w:hAnsi="Times New Roman" w:cs="Times New Roman"/>
        </w:rPr>
        <w:t>(Woods 2006)</w:t>
      </w:r>
      <w:r w:rsidR="00F20019" w:rsidRPr="00CC4E81">
        <w:rPr>
          <w:rFonts w:ascii="Times New Roman" w:hAnsi="Times New Roman" w:cs="Times New Roman"/>
          <w14:ligatures w14:val="standard"/>
        </w:rPr>
        <w:fldChar w:fldCharType="end"/>
      </w:r>
      <w:r w:rsidR="00ED02EB" w:rsidRPr="00CC4E81">
        <w:rPr>
          <w:rFonts w:ascii="Times New Roman" w:hAnsi="Times New Roman" w:cs="Times New Roman"/>
          <w14:ligatures w14:val="standard"/>
        </w:rPr>
        <w:t>. Using well-level spatial data, we identified all wells located within 50 kilometers of the border and compared inspection frequency, violation rates, and enforcement outcomes to those for non-border wells. We found that border wells experienced significantly fewer inspections per well, lower compliance upon reinspection, and lower overall violation rates, with all differences statistically significant (p &lt; 0.001). While some of this variation may reflect recent development patterns—such as increased activity in the Eagle Ford shale play, which overlaps much of the border region—these findings suggest that regional disparities in regulatory intensity persist despite statewide mandates.</w:t>
      </w:r>
    </w:p>
    <w:p w14:paraId="5490607F" w14:textId="77777777" w:rsidR="00500C0B" w:rsidRPr="00CC4E81" w:rsidRDefault="00ED02EB">
      <w:pPr>
        <w:pStyle w:val="BodyText"/>
        <w:spacing w:before="0" w:after="0" w:line="480" w:lineRule="auto"/>
        <w:ind w:right="-14"/>
        <w:rPr>
          <w:rFonts w:ascii="Times New Roman" w:eastAsia="Garamond" w:hAnsi="Times New Roman" w:cs="Times New Roman"/>
          <w:b/>
          <w:bCs/>
          <w14:ligatures w14:val="standard"/>
        </w:rPr>
      </w:pPr>
      <w:r w:rsidRPr="00CC4E81">
        <w:rPr>
          <w:rFonts w:ascii="Times New Roman" w:eastAsia="Garamond" w:hAnsi="Times New Roman" w:cs="Times New Roman"/>
          <w:b/>
          <w:bCs/>
          <w14:ligatures w14:val="standard"/>
        </w:rPr>
        <w:t>Conclusions and Future Directions</w:t>
      </w:r>
    </w:p>
    <w:p w14:paraId="511A1AF1" w14:textId="285FAD8B" w:rsidR="00500C0B" w:rsidRPr="00CC4E81" w:rsidRDefault="00ED02EB" w:rsidP="006715ED">
      <w:pPr>
        <w:pStyle w:val="BodyText"/>
        <w:spacing w:before="0" w:after="0" w:line="480" w:lineRule="auto"/>
        <w:ind w:right="-14" w:firstLine="720"/>
        <w:rPr>
          <w:rFonts w:ascii="Times New Roman" w:hAnsi="Times New Roman" w:cs="Times New Roman"/>
          <w14:ligatures w14:val="standard"/>
        </w:rPr>
      </w:pPr>
      <w:r w:rsidRPr="00CC4E81">
        <w:rPr>
          <w:rFonts w:ascii="Times New Roman" w:hAnsi="Times New Roman" w:cs="Times New Roman"/>
          <w14:ligatures w14:val="standard"/>
        </w:rPr>
        <w:t xml:space="preserve">Our results </w:t>
      </w:r>
      <w:r w:rsidR="006715ED" w:rsidRPr="00CC4E81">
        <w:rPr>
          <w:rFonts w:ascii="Times New Roman" w:hAnsi="Times New Roman" w:cs="Times New Roman"/>
          <w14:ligatures w14:val="standard"/>
        </w:rPr>
        <w:t xml:space="preserve">show the promise and peril of information disclosure. </w:t>
      </w:r>
      <w:r w:rsidRPr="00CC4E81">
        <w:rPr>
          <w:rFonts w:ascii="Times New Roman" w:hAnsi="Times New Roman" w:cs="Times New Roman"/>
          <w14:ligatures w14:val="standard"/>
        </w:rPr>
        <w:t xml:space="preserve">The 2019 policy change, providing greater data access and transparency, contributed to an overall increase in recorded violations. Yet, for specific actions, performance results varied. Recognizing this </w:t>
      </w:r>
      <w:r w:rsidRPr="00CC4E81">
        <w:rPr>
          <w:rFonts w:ascii="Times New Roman" w:hAnsi="Times New Roman" w:cs="Times New Roman"/>
          <w14:ligatures w14:val="standard"/>
        </w:rPr>
        <w:lastRenderedPageBreak/>
        <w:t xml:space="preserve">complexity without a clear-cut theoretical explanation, we envision </w:t>
      </w:r>
      <w:r w:rsidR="006715ED" w:rsidRPr="00CC4E81">
        <w:rPr>
          <w:rFonts w:ascii="Times New Roman" w:hAnsi="Times New Roman" w:cs="Times New Roman"/>
          <w14:ligatures w14:val="standard"/>
        </w:rPr>
        <w:t xml:space="preserve">a long line of </w:t>
      </w:r>
      <w:r w:rsidRPr="00CC4E81">
        <w:rPr>
          <w:rFonts w:ascii="Times New Roman" w:hAnsi="Times New Roman" w:cs="Times New Roman"/>
          <w14:ligatures w14:val="standard"/>
        </w:rPr>
        <w:t xml:space="preserve">future research to </w:t>
      </w:r>
      <w:r w:rsidR="006715ED" w:rsidRPr="00CC4E81">
        <w:rPr>
          <w:rFonts w:ascii="Times New Roman" w:hAnsi="Times New Roman" w:cs="Times New Roman"/>
          <w14:ligatures w14:val="standard"/>
        </w:rPr>
        <w:t xml:space="preserve">better </w:t>
      </w:r>
      <w:r w:rsidRPr="00CC4E81">
        <w:rPr>
          <w:rFonts w:ascii="Times New Roman" w:hAnsi="Times New Roman" w:cs="Times New Roman"/>
          <w14:ligatures w14:val="standard"/>
        </w:rPr>
        <w:t>understand</w:t>
      </w:r>
      <w:r w:rsidR="006715ED" w:rsidRPr="00CC4E81">
        <w:rPr>
          <w:rFonts w:ascii="Times New Roman" w:hAnsi="Times New Roman" w:cs="Times New Roman"/>
          <w14:ligatures w14:val="standard"/>
        </w:rPr>
        <w:t xml:space="preserve"> the dynamic among disclosure, traditional regulation, and</w:t>
      </w:r>
      <w:r w:rsidRPr="00CC4E81">
        <w:rPr>
          <w:rFonts w:ascii="Times New Roman" w:hAnsi="Times New Roman" w:cs="Times New Roman"/>
          <w14:ligatures w14:val="standard"/>
        </w:rPr>
        <w:t xml:space="preserve"> administrative performance. </w:t>
      </w:r>
      <w:r w:rsidR="006715ED" w:rsidRPr="00CC4E81">
        <w:rPr>
          <w:rFonts w:ascii="Times New Roman" w:hAnsi="Times New Roman" w:cs="Times New Roman"/>
          <w14:ligatures w14:val="standard"/>
        </w:rPr>
        <w:t>In this effort, f</w:t>
      </w:r>
      <w:r w:rsidRPr="00CC4E81">
        <w:rPr>
          <w:rFonts w:ascii="Times New Roman" w:hAnsi="Times New Roman" w:cs="Times New Roman"/>
          <w14:ligatures w14:val="standard"/>
        </w:rPr>
        <w:t xml:space="preserve">uture studies </w:t>
      </w:r>
      <w:r w:rsidR="006715ED" w:rsidRPr="00CC4E81">
        <w:rPr>
          <w:rFonts w:ascii="Times New Roman" w:hAnsi="Times New Roman" w:cs="Times New Roman"/>
          <w14:ligatures w14:val="standard"/>
        </w:rPr>
        <w:t>should</w:t>
      </w:r>
      <w:r w:rsidR="00437077" w:rsidRPr="00CC4E81">
        <w:rPr>
          <w:rFonts w:ascii="Times New Roman" w:hAnsi="Times New Roman" w:cs="Times New Roman"/>
          <w14:ligatures w14:val="standard"/>
        </w:rPr>
        <w:t xml:space="preserve"> </w:t>
      </w:r>
      <w:r w:rsidRPr="00CC4E81">
        <w:rPr>
          <w:rFonts w:ascii="Times New Roman" w:hAnsi="Times New Roman" w:cs="Times New Roman"/>
          <w14:ligatures w14:val="standard"/>
        </w:rPr>
        <w:t>explore</w:t>
      </w:r>
      <w:r w:rsidR="003936D1" w:rsidRPr="00CC4E81">
        <w:rPr>
          <w:rFonts w:ascii="Times New Roman" w:hAnsi="Times New Roman" w:cs="Times New Roman"/>
          <w14:ligatures w14:val="standard"/>
        </w:rPr>
        <w:t xml:space="preserve"> a range of topics. Certainly, the second Trump administration’s emphasis on </w:t>
      </w:r>
      <w:r w:rsidR="00437077" w:rsidRPr="00CC4E81">
        <w:rPr>
          <w:rFonts w:ascii="Times New Roman" w:hAnsi="Times New Roman" w:cs="Times New Roman"/>
          <w14:ligatures w14:val="standard"/>
        </w:rPr>
        <w:t>‘</w:t>
      </w:r>
      <w:r w:rsidR="003936D1" w:rsidRPr="00CC4E81">
        <w:rPr>
          <w:rFonts w:ascii="Times New Roman" w:hAnsi="Times New Roman" w:cs="Times New Roman"/>
          <w14:ligatures w14:val="standard"/>
        </w:rPr>
        <w:t>energy dominance</w:t>
      </w:r>
      <w:r w:rsidR="00437077" w:rsidRPr="00CC4E81">
        <w:rPr>
          <w:rFonts w:ascii="Times New Roman" w:hAnsi="Times New Roman" w:cs="Times New Roman"/>
          <w14:ligatures w14:val="standard"/>
        </w:rPr>
        <w:t>’</w:t>
      </w:r>
      <w:r w:rsidR="003936D1" w:rsidRPr="00CC4E81">
        <w:rPr>
          <w:rFonts w:ascii="Times New Roman" w:hAnsi="Times New Roman" w:cs="Times New Roman"/>
          <w14:ligatures w14:val="standard"/>
        </w:rPr>
        <w:t xml:space="preserve"> has the potential to prioritize extraction </w:t>
      </w:r>
      <w:r w:rsidR="00437077" w:rsidRPr="00CC4E81">
        <w:rPr>
          <w:rFonts w:ascii="Times New Roman" w:hAnsi="Times New Roman" w:cs="Times New Roman"/>
          <w14:ligatures w14:val="standard"/>
        </w:rPr>
        <w:t>over</w:t>
      </w:r>
      <w:r w:rsidR="003936D1" w:rsidRPr="00CC4E81">
        <w:rPr>
          <w:rFonts w:ascii="Times New Roman" w:hAnsi="Times New Roman" w:cs="Times New Roman"/>
          <w14:ligatures w14:val="standard"/>
        </w:rPr>
        <w:t xml:space="preserve"> environmental protection</w:t>
      </w:r>
      <w:r w:rsidR="006715ED" w:rsidRPr="00CC4E81">
        <w:rPr>
          <w:rFonts w:ascii="Times New Roman" w:hAnsi="Times New Roman" w:cs="Times New Roman"/>
          <w14:ligatures w14:val="standard"/>
        </w:rPr>
        <w:t xml:space="preserve"> and impact performance</w:t>
      </w:r>
      <w:r w:rsidR="003936D1" w:rsidRPr="00CC4E81">
        <w:rPr>
          <w:rFonts w:ascii="Times New Roman" w:hAnsi="Times New Roman" w:cs="Times New Roman"/>
          <w14:ligatures w14:val="standard"/>
        </w:rPr>
        <w:t xml:space="preserve">. That said, </w:t>
      </w:r>
      <w:r w:rsidR="002E680D" w:rsidRPr="00CC4E81">
        <w:rPr>
          <w:rFonts w:ascii="Times New Roman" w:hAnsi="Times New Roman" w:cs="Times New Roman"/>
          <w14:ligatures w14:val="standard"/>
        </w:rPr>
        <w:t xml:space="preserve">many oil and gas firms are </w:t>
      </w:r>
      <w:r w:rsidR="006715ED" w:rsidRPr="00CC4E81">
        <w:rPr>
          <w:rFonts w:ascii="Times New Roman" w:hAnsi="Times New Roman" w:cs="Times New Roman"/>
          <w14:ligatures w14:val="standard"/>
        </w:rPr>
        <w:t xml:space="preserve">likely to be </w:t>
      </w:r>
      <w:r w:rsidR="00437077" w:rsidRPr="00CC4E81">
        <w:rPr>
          <w:rFonts w:ascii="Times New Roman" w:hAnsi="Times New Roman" w:cs="Times New Roman"/>
          <w14:ligatures w14:val="standard"/>
        </w:rPr>
        <w:t>un</w:t>
      </w:r>
      <w:r w:rsidR="002E680D" w:rsidRPr="00CC4E81">
        <w:rPr>
          <w:rFonts w:ascii="Times New Roman" w:hAnsi="Times New Roman" w:cs="Times New Roman"/>
          <w14:ligatures w14:val="standard"/>
        </w:rPr>
        <w:t>interested in increasing supply</w:t>
      </w:r>
      <w:r w:rsidR="00437077" w:rsidRPr="00CC4E81">
        <w:rPr>
          <w:rFonts w:ascii="Times New Roman" w:hAnsi="Times New Roman" w:cs="Times New Roman"/>
          <w14:ligatures w14:val="standard"/>
        </w:rPr>
        <w:t xml:space="preserve"> via extraction</w:t>
      </w:r>
      <w:r w:rsidR="002E680D" w:rsidRPr="00CC4E81">
        <w:rPr>
          <w:rFonts w:ascii="Times New Roman" w:hAnsi="Times New Roman" w:cs="Times New Roman"/>
          <w14:ligatures w14:val="standard"/>
        </w:rPr>
        <w:t xml:space="preserve"> without requisite demand. Additionally,</w:t>
      </w:r>
      <w:r w:rsidRPr="00CC4E81">
        <w:rPr>
          <w:rFonts w:ascii="Times New Roman" w:hAnsi="Times New Roman" w:cs="Times New Roman"/>
          <w14:ligatures w14:val="standard"/>
        </w:rPr>
        <w:t xml:space="preserve"> the spatial dimensions of violations and how oil and gas stakeholders and citizens</w:t>
      </w:r>
      <w:r w:rsidR="003936D1" w:rsidRPr="00CC4E81">
        <w:rPr>
          <w:rFonts w:ascii="Times New Roman" w:hAnsi="Times New Roman" w:cs="Times New Roman"/>
          <w14:ligatures w14:val="standard"/>
        </w:rPr>
        <w:t xml:space="preserve"> and/or interest groups</w:t>
      </w:r>
      <w:r w:rsidRPr="00CC4E81">
        <w:rPr>
          <w:rFonts w:ascii="Times New Roman" w:hAnsi="Times New Roman" w:cs="Times New Roman"/>
          <w14:ligatures w14:val="standard"/>
        </w:rPr>
        <w:t xml:space="preserve"> engage with state agencies</w:t>
      </w:r>
      <w:r w:rsidR="006715ED" w:rsidRPr="00CC4E81">
        <w:rPr>
          <w:rFonts w:ascii="Times New Roman" w:hAnsi="Times New Roman" w:cs="Times New Roman"/>
          <w14:ligatures w14:val="standard"/>
        </w:rPr>
        <w:t xml:space="preserve"> or regional officials</w:t>
      </w:r>
      <w:r w:rsidR="002E680D" w:rsidRPr="00CC4E81">
        <w:rPr>
          <w:rFonts w:ascii="Times New Roman" w:hAnsi="Times New Roman" w:cs="Times New Roman"/>
          <w14:ligatures w14:val="standard"/>
        </w:rPr>
        <w:t>, especially via complaints and annual performance goal setting</w:t>
      </w:r>
      <w:r w:rsidRPr="00CC4E81">
        <w:rPr>
          <w:rFonts w:ascii="Times New Roman" w:hAnsi="Times New Roman" w:cs="Times New Roman"/>
          <w14:ligatures w14:val="standard"/>
        </w:rPr>
        <w:t>. Our data captures four years after the 2019 change, and many technological factors, including data availability, AI, and drones, can influence performance. Additionally, future studies could focus on the specific impacts of regulatory behaviors</w:t>
      </w:r>
      <w:r w:rsidR="00215323" w:rsidRPr="00CC4E81">
        <w:rPr>
          <w:rFonts w:ascii="Times New Roman" w:hAnsi="Times New Roman" w:cs="Times New Roman"/>
          <w14:ligatures w14:val="standard"/>
        </w:rPr>
        <w:t xml:space="preserve"> and performance vis-a-vie</w:t>
      </w:r>
      <w:r w:rsidRPr="00CC4E81">
        <w:rPr>
          <w:rFonts w:ascii="Times New Roman" w:hAnsi="Times New Roman" w:cs="Times New Roman"/>
          <w14:ligatures w14:val="standard"/>
        </w:rPr>
        <w:t xml:space="preserve"> disadvantaged communities</w:t>
      </w:r>
      <w:r w:rsidR="00215323" w:rsidRPr="00CC4E81">
        <w:rPr>
          <w:rFonts w:ascii="Times New Roman" w:hAnsi="Times New Roman" w:cs="Times New Roman"/>
          <w14:ligatures w14:val="standard"/>
        </w:rPr>
        <w:t xml:space="preserve">, especially in border areas and in rural communities </w:t>
      </w:r>
      <w:r w:rsidR="009A7E68" w:rsidRPr="00CC4E81">
        <w:rPr>
          <w:rFonts w:ascii="Times New Roman" w:hAnsi="Times New Roman" w:cs="Times New Roman"/>
          <w14:ligatures w14:val="standard"/>
        </w:rPr>
        <w:fldChar w:fldCharType="begin"/>
      </w:r>
      <w:r w:rsidR="003B0A34" w:rsidRPr="00CC4E81">
        <w:rPr>
          <w:rFonts w:ascii="Times New Roman" w:hAnsi="Times New Roman" w:cs="Times New Roman"/>
          <w14:ligatures w14:val="standard"/>
        </w:rPr>
        <w:instrText xml:space="preserve"> ADDIN ZOTERO_ITEM CSL_CITATION {"citationID":"6BrPw10e","properties":{"formattedCitation":"(Amin et al. 2025)","plainCitation":"(Amin et al. 2025)","noteIndex":0},"citationItems":[{"id":1808,"uris":["http://zotero.org/users/3682065/items/Q8CBHG2G"],"itemData":{"id":1808,"type":"article-journal","container-title":"Journal of Environmental Policy &amp; Planning","DOI":"10.1080/1523908X.2025.2480289","ISSN":"1523-908X, 1522-7200","journalAbbreviation":"Journal of Environmental Policy &amp; Planning","language":"English","page":"1-14","source":"DOI.org (Crossref)","title":"Plugged in? Assessing the distribution of orphaned wells","title-short":"Plugged in?","author":[{"family":"Amin","given":"Alisha"},{"family":"Adams","given":"David P."},{"family":"Fisk","given":"Jonathan M."},{"family":"Mayer","given":"Adam F."}],"issued":{"date-parts":[["2025",3,26]]}}}],"schema":"https://github.com/citation-style-language/schema/raw/master/csl-citation.json"} </w:instrText>
      </w:r>
      <w:r w:rsidR="009A7E68" w:rsidRPr="00CC4E81">
        <w:rPr>
          <w:rFonts w:ascii="Times New Roman" w:hAnsi="Times New Roman" w:cs="Times New Roman"/>
          <w14:ligatures w14:val="standard"/>
        </w:rPr>
        <w:fldChar w:fldCharType="separate"/>
      </w:r>
      <w:r w:rsidR="009A7E68" w:rsidRPr="00CC4E81">
        <w:rPr>
          <w:rFonts w:ascii="Times New Roman" w:hAnsi="Times New Roman" w:cs="Times New Roman"/>
        </w:rPr>
        <w:t>(Amin et al. 2025)</w:t>
      </w:r>
      <w:r w:rsidR="009A7E68" w:rsidRPr="00CC4E81">
        <w:rPr>
          <w:rFonts w:ascii="Times New Roman" w:hAnsi="Times New Roman" w:cs="Times New Roman"/>
          <w14:ligatures w14:val="standard"/>
        </w:rPr>
        <w:fldChar w:fldCharType="end"/>
      </w:r>
      <w:r w:rsidR="00215323" w:rsidRPr="00CC4E81">
        <w:rPr>
          <w:rFonts w:ascii="Times New Roman" w:hAnsi="Times New Roman" w:cs="Times New Roman"/>
          <w14:ligatures w14:val="standard"/>
        </w:rPr>
        <w:t>. This is especially important as</w:t>
      </w:r>
      <w:r w:rsidRPr="00CC4E81">
        <w:rPr>
          <w:rFonts w:ascii="Times New Roman" w:hAnsi="Times New Roman" w:cs="Times New Roman"/>
          <w14:ligatures w14:val="standard"/>
        </w:rPr>
        <w:t xml:space="preserve"> previous studies have found that Hispanic communities in particular have been given less attention by state regulatory agencies than other populations </w:t>
      </w:r>
      <w:r w:rsidRPr="00CC4E81">
        <w:rPr>
          <w:rFonts w:ascii="Times New Roman" w:hAnsi="Times New Roman" w:cs="Times New Roman"/>
        </w:rPr>
        <w:fldChar w:fldCharType="begin"/>
      </w:r>
      <w:r w:rsidR="003B0A34" w:rsidRPr="00CC4E81">
        <w:rPr>
          <w:rFonts w:ascii="Times New Roman" w:hAnsi="Times New Roman" w:cs="Times New Roman"/>
        </w:rPr>
        <w:instrText xml:space="preserve"> ADDIN ZOTERO_ITEM CSL_CITATION {"citationID":"7U3rjp71","properties":{"formattedCitation":"(Konisky and Reenock 2018)","plainCitation":"(Konisky and Reenock 2018)","noteIndex":0},"citationItems":[{"id":1593,"uris":["http://zotero.org/users/3682065/items/2MBL5DHU"],"itemData":{"id":1593,"type":"article-journal","abstract":"Does environmental regulation vary over poor and minority communities? An uneven governmental response may follow from regulators' varying incentives to negotiate enforcement challenges. We argue that regulators confront two in particular. Regulators can pursue political enforcement, responding to mobilized interests, regardless of environmental risk, or they can pursue instrumental enforcement, responding to at‐risk communities, regardless of political mobilization. To examine these competing strategies, we use an original dataset from the EPA's Risk‐Screening Environmental Indicators model to develop a geographic “riskscape” combined with census tract community data and facility‐level enforcement data. We find that state regulatory agencies pursue a mixture of political and instrumental enforcement, but that these tactics are applied unevenly across traditional environmental justice communities. Specifically, state agencies devote more attention to facilities in communities with relatively higher risk, but less attention in the area of punishment for violations for facilities located in Hispanic communities. Importantly, this lack of attention to Hispanic communities is not mediated by the relative level of risks that they face, but it is to a significant extent in communities in which environmental justice advocacy organizations operate.","container-title":"Policy Studies Journal","DOI":"10.1111/psj.12203","ISSN":"0190-292X, 1541-0072","issue":"1","journalAbbreviation":"Policy Studies Journal","language":"English","page":"7-36","source":"DOI.org (Crossref)","title":"Regulatory Enforcement, Riskscapes, and Environmental Justice","volume":"46","author":[{"family":"Konisky","given":"David M."},{"family":"Reenock","given":"Christopher"}],"issued":{"date-parts":[["2018",2]]}}}],"schema":"https://github.com/citation-style-language/schema/raw/master/csl-citation.json"} </w:instrText>
      </w:r>
      <w:r w:rsidRPr="00CC4E81">
        <w:rPr>
          <w:rFonts w:ascii="Times New Roman" w:hAnsi="Times New Roman" w:cs="Times New Roman"/>
        </w:rPr>
        <w:fldChar w:fldCharType="separate"/>
      </w:r>
      <w:r w:rsidRPr="00CC4E81">
        <w:rPr>
          <w:rFonts w:ascii="Times New Roman" w:hAnsi="Times New Roman" w:cs="Times New Roman"/>
        </w:rPr>
        <w:t>(Konisky and Reenock 2018)</w:t>
      </w:r>
      <w:r w:rsidRPr="00CC4E81">
        <w:rPr>
          <w:rFonts w:ascii="Times New Roman" w:hAnsi="Times New Roman" w:cs="Times New Roman"/>
        </w:rPr>
        <w:fldChar w:fldCharType="end"/>
      </w:r>
      <w:r w:rsidRPr="00CC4E81">
        <w:rPr>
          <w:rFonts w:ascii="Times New Roman" w:hAnsi="Times New Roman" w:cs="Times New Roman"/>
          <w14:ligatures w14:val="standard"/>
        </w:rPr>
        <w:t xml:space="preserve">. </w:t>
      </w:r>
      <w:r w:rsidR="00F6153A" w:rsidRPr="00CC4E81">
        <w:rPr>
          <w:rFonts w:ascii="Times New Roman" w:hAnsi="Times New Roman" w:cs="Times New Roman"/>
          <w14:ligatures w14:val="standard"/>
        </w:rPr>
        <w:t>Finally, unpacking the role</w:t>
      </w:r>
      <w:r w:rsidR="006715ED" w:rsidRPr="00CC4E81">
        <w:rPr>
          <w:rFonts w:ascii="Times New Roman" w:hAnsi="Times New Roman" w:cs="Times New Roman"/>
          <w14:ligatures w14:val="standard"/>
        </w:rPr>
        <w:t>s</w:t>
      </w:r>
      <w:r w:rsidR="00F6153A" w:rsidRPr="00CC4E81">
        <w:rPr>
          <w:rFonts w:ascii="Times New Roman" w:hAnsi="Times New Roman" w:cs="Times New Roman"/>
          <w14:ligatures w14:val="standard"/>
        </w:rPr>
        <w:t xml:space="preserve"> of </w:t>
      </w:r>
      <w:r w:rsidR="00F6153A" w:rsidRPr="00CC4E81">
        <w:rPr>
          <w:rFonts w:ascii="Times New Roman" w:hAnsi="Times New Roman" w:cs="Times New Roman"/>
        </w:rPr>
        <w:t xml:space="preserve">environmental interest </w:t>
      </w:r>
      <w:r w:rsidR="00090CC1" w:rsidRPr="00CC4E81">
        <w:rPr>
          <w:rFonts w:ascii="Times New Roman" w:hAnsi="Times New Roman" w:cs="Times New Roman"/>
        </w:rPr>
        <w:t>groups</w:t>
      </w:r>
      <w:r w:rsidR="00F6153A" w:rsidRPr="00CC4E81">
        <w:rPr>
          <w:rFonts w:ascii="Times New Roman" w:hAnsi="Times New Roman" w:cs="Times New Roman"/>
        </w:rPr>
        <w:t xml:space="preserve"> and networks within communities or the state that are supporting or opposing development</w:t>
      </w:r>
      <w:r w:rsidR="006715ED" w:rsidRPr="00CC4E81">
        <w:rPr>
          <w:rFonts w:ascii="Times New Roman" w:hAnsi="Times New Roman" w:cs="Times New Roman"/>
        </w:rPr>
        <w:t xml:space="preserve"> and/or how such groups are utilizing the newly available data</w:t>
      </w:r>
      <w:r w:rsidR="00F6153A" w:rsidRPr="00CC4E81">
        <w:rPr>
          <w:rFonts w:ascii="Times New Roman" w:hAnsi="Times New Roman" w:cs="Times New Roman"/>
        </w:rPr>
        <w:t>. Here, disclosure laws may enable these organizations to more effectively publicize data, mobilize around disclosed information</w:t>
      </w:r>
      <w:r w:rsidR="007E32A9" w:rsidRPr="00CC4E81">
        <w:rPr>
          <w:rFonts w:ascii="Times New Roman" w:hAnsi="Times New Roman" w:cs="Times New Roman"/>
        </w:rPr>
        <w:t>,</w:t>
      </w:r>
      <w:r w:rsidR="00F6153A" w:rsidRPr="00CC4E81">
        <w:rPr>
          <w:rFonts w:ascii="Times New Roman" w:hAnsi="Times New Roman" w:cs="Times New Roman"/>
        </w:rPr>
        <w:t xml:space="preserve"> and </w:t>
      </w:r>
      <w:r w:rsidR="00933EDD" w:rsidRPr="00CC4E81">
        <w:rPr>
          <w:rFonts w:ascii="Times New Roman" w:hAnsi="Times New Roman" w:cs="Times New Roman"/>
        </w:rPr>
        <w:t>thus</w:t>
      </w:r>
      <w:r w:rsidR="00F6153A" w:rsidRPr="00CC4E81">
        <w:rPr>
          <w:rFonts w:ascii="Times New Roman" w:hAnsi="Times New Roman" w:cs="Times New Roman"/>
        </w:rPr>
        <w:t xml:space="preserve"> </w:t>
      </w:r>
      <w:r w:rsidR="00933EDD" w:rsidRPr="00CC4E81">
        <w:rPr>
          <w:rFonts w:ascii="Times New Roman" w:hAnsi="Times New Roman" w:cs="Times New Roman"/>
        </w:rPr>
        <w:t xml:space="preserve">increase </w:t>
      </w:r>
      <w:r w:rsidR="00F6153A" w:rsidRPr="00CC4E81">
        <w:rPr>
          <w:rFonts w:ascii="Times New Roman" w:hAnsi="Times New Roman" w:cs="Times New Roman"/>
        </w:rPr>
        <w:t>public awareness and data literacy to apply pressure on regulators.</w:t>
      </w:r>
    </w:p>
    <w:p w14:paraId="71888230" w14:textId="77777777" w:rsidR="00500C0B" w:rsidRPr="00CC4E81" w:rsidRDefault="00ED02EB">
      <w:pPr>
        <w:spacing w:after="0" w:line="240" w:lineRule="auto"/>
        <w:rPr>
          <w:rFonts w:ascii="Times New Roman" w:eastAsia="Garamond" w:hAnsi="Times New Roman" w:cs="Times New Roman"/>
          <w:b/>
          <w:bCs/>
          <w:sz w:val="24"/>
          <w:szCs w:val="24"/>
          <w14:ligatures w14:val="standard"/>
        </w:rPr>
      </w:pPr>
      <w:r w:rsidRPr="00CC4E81">
        <w:rPr>
          <w:rFonts w:ascii="Times New Roman" w:hAnsi="Times New Roman" w:cs="Times New Roman"/>
          <w:sz w:val="24"/>
          <w:szCs w:val="24"/>
        </w:rPr>
        <w:br w:type="page"/>
      </w:r>
    </w:p>
    <w:p w14:paraId="1CF76832" w14:textId="77777777" w:rsidR="00500C0B" w:rsidRPr="00CC4E81" w:rsidRDefault="00ED02EB" w:rsidP="00B80B38">
      <w:pPr>
        <w:spacing w:after="0" w:line="480" w:lineRule="auto"/>
        <w:rPr>
          <w:rFonts w:ascii="Times New Roman" w:eastAsia="Garamond" w:hAnsi="Times New Roman" w:cs="Times New Roman"/>
          <w:b/>
          <w:bCs/>
          <w:sz w:val="24"/>
          <w:szCs w:val="24"/>
          <w14:ligatures w14:val="standard"/>
        </w:rPr>
      </w:pPr>
      <w:r w:rsidRPr="00CC4E81">
        <w:rPr>
          <w:rFonts w:ascii="Times New Roman" w:eastAsia="Garamond" w:hAnsi="Times New Roman" w:cs="Times New Roman"/>
          <w:b/>
          <w:bCs/>
          <w:sz w:val="24"/>
          <w:szCs w:val="24"/>
          <w14:ligatures w14:val="standard"/>
        </w:rPr>
        <w:lastRenderedPageBreak/>
        <w:t>Citations</w:t>
      </w:r>
    </w:p>
    <w:p w14:paraId="74E0B2E0" w14:textId="77777777" w:rsidR="003C5338" w:rsidRPr="00CC4E81" w:rsidRDefault="00ED02EB"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fldChar w:fldCharType="begin"/>
      </w:r>
      <w:r w:rsidR="00B80B38" w:rsidRPr="00CC4E81">
        <w:rPr>
          <w:rFonts w:ascii="Times New Roman" w:eastAsia="Garamond" w:hAnsi="Times New Roman" w:cs="Times New Roman"/>
          <w:b/>
          <w:bCs/>
          <w:sz w:val="24"/>
          <w:szCs w:val="24"/>
        </w:rPr>
        <w:instrText xml:space="preserve"> ADDIN ZOTERO_BIBL {"uncited":[],"omitted":[],"custom":[]} CSL_BIBLIOGRAPHY </w:instrText>
      </w:r>
      <w:r w:rsidRPr="00CC4E81">
        <w:rPr>
          <w:rFonts w:ascii="Times New Roman" w:eastAsia="Garamond" w:hAnsi="Times New Roman" w:cs="Times New Roman"/>
          <w:b/>
          <w:bCs/>
          <w:sz w:val="24"/>
          <w:szCs w:val="24"/>
        </w:rPr>
        <w:fldChar w:fldCharType="separate"/>
      </w:r>
      <w:r w:rsidR="003C5338" w:rsidRPr="00CC4E81">
        <w:rPr>
          <w:rFonts w:ascii="Times New Roman" w:hAnsi="Times New Roman" w:cs="Times New Roman"/>
          <w:sz w:val="24"/>
          <w:szCs w:val="24"/>
        </w:rPr>
        <w:t xml:space="preserve">Abel, Troy D., Mark Stephan, and Michael E. Kraft. 2007. “Environmental Information Disclosure and Risk Reduction among the States.” </w:t>
      </w:r>
      <w:r w:rsidR="003C5338" w:rsidRPr="00CC4E81">
        <w:rPr>
          <w:rFonts w:ascii="Times New Roman" w:hAnsi="Times New Roman" w:cs="Times New Roman"/>
          <w:i/>
          <w:iCs/>
          <w:sz w:val="24"/>
          <w:szCs w:val="24"/>
        </w:rPr>
        <w:t>State and Local Government Review</w:t>
      </w:r>
      <w:r w:rsidR="003C5338" w:rsidRPr="00CC4E81">
        <w:rPr>
          <w:rFonts w:ascii="Times New Roman" w:hAnsi="Times New Roman" w:cs="Times New Roman"/>
          <w:sz w:val="24"/>
          <w:szCs w:val="24"/>
        </w:rPr>
        <w:t xml:space="preserve"> 39 (3): 153–65. https://doi.org/10.1177/0160323X0703900304.</w:t>
      </w:r>
    </w:p>
    <w:p w14:paraId="6B3B3D39"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Amin, Alisha, David P. Adams, Jonathan M. Fisk, and Adam F. Mayer. 2025. “Plugged in? Assessing the Distribution of Orphaned Wells.” </w:t>
      </w:r>
      <w:r w:rsidRPr="00CC4E81">
        <w:rPr>
          <w:rFonts w:ascii="Times New Roman" w:hAnsi="Times New Roman" w:cs="Times New Roman"/>
          <w:i/>
          <w:iCs/>
          <w:sz w:val="24"/>
          <w:szCs w:val="24"/>
        </w:rPr>
        <w:t>Journal of Environmental Policy &amp; Planning</w:t>
      </w:r>
      <w:r w:rsidRPr="00CC4E81">
        <w:rPr>
          <w:rFonts w:ascii="Times New Roman" w:hAnsi="Times New Roman" w:cs="Times New Roman"/>
          <w:sz w:val="24"/>
          <w:szCs w:val="24"/>
        </w:rPr>
        <w:t>, March, 1–14. https://doi.org/10.1080/1523908X.2025.2480289.</w:t>
      </w:r>
    </w:p>
    <w:p w14:paraId="5AA8ABAA"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Anderson, Spencer B., Jessen L. Hobson, and Ryan D. Sommerfeldt. 2022. “Auditing Non-GAAP Measures: Signaling More Than Intended.” </w:t>
      </w:r>
      <w:r w:rsidRPr="00CC4E81">
        <w:rPr>
          <w:rFonts w:ascii="Times New Roman" w:hAnsi="Times New Roman" w:cs="Times New Roman"/>
          <w:i/>
          <w:iCs/>
          <w:sz w:val="24"/>
          <w:szCs w:val="24"/>
        </w:rPr>
        <w:t>Contemporary Accounting Research</w:t>
      </w:r>
      <w:r w:rsidRPr="00CC4E81">
        <w:rPr>
          <w:rFonts w:ascii="Times New Roman" w:hAnsi="Times New Roman" w:cs="Times New Roman"/>
          <w:sz w:val="24"/>
          <w:szCs w:val="24"/>
        </w:rPr>
        <w:t xml:space="preserve"> 39 (1): 577–606. https://doi.org/10.1111/1911-3846.12724.</w:t>
      </w:r>
    </w:p>
    <w:p w14:paraId="13CE919F"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Arbia, Giuseppe, and Badi H. Baltagi, eds. 2009. </w:t>
      </w:r>
      <w:r w:rsidRPr="00CC4E81">
        <w:rPr>
          <w:rFonts w:ascii="Times New Roman" w:hAnsi="Times New Roman" w:cs="Times New Roman"/>
          <w:i/>
          <w:iCs/>
          <w:sz w:val="24"/>
          <w:szCs w:val="24"/>
        </w:rPr>
        <w:t>Spatial Econometrics</w:t>
      </w:r>
      <w:r w:rsidRPr="00CC4E81">
        <w:rPr>
          <w:rFonts w:ascii="Times New Roman" w:hAnsi="Times New Roman" w:cs="Times New Roman"/>
          <w:sz w:val="24"/>
          <w:szCs w:val="24"/>
        </w:rPr>
        <w:t>. Heidelberg: Physica-Verlag HD. https://doi.org/10.1007/978-3-7908-2070-6.</w:t>
      </w:r>
    </w:p>
    <w:p w14:paraId="76B533B6"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Bennear, Lori Snyder, and Sheila M. Olmstead. 2008. “The Impacts of the ‘Right to Know’: Information Disclosure and the Violation of Drinking Water Standards.” </w:t>
      </w:r>
      <w:r w:rsidRPr="00CC4E81">
        <w:rPr>
          <w:rFonts w:ascii="Times New Roman" w:hAnsi="Times New Roman" w:cs="Times New Roman"/>
          <w:i/>
          <w:iCs/>
          <w:sz w:val="24"/>
          <w:szCs w:val="24"/>
        </w:rPr>
        <w:t>SSRN Electronic Journal</w:t>
      </w:r>
      <w:r w:rsidRPr="00CC4E81">
        <w:rPr>
          <w:rFonts w:ascii="Times New Roman" w:hAnsi="Times New Roman" w:cs="Times New Roman"/>
          <w:sz w:val="24"/>
          <w:szCs w:val="24"/>
        </w:rPr>
        <w:t>. https://doi.org/10.2139/ssrn.939590.</w:t>
      </w:r>
    </w:p>
    <w:p w14:paraId="208DBABD"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Bustos, Edgar O. 2021. “Organizational Reputation in the Public Administration: A Systematic Literature Review.”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81 (4): 731–51. https://doi.org/10.1111/puar.13363.</w:t>
      </w:r>
    </w:p>
    <w:p w14:paraId="7841B49B"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Carpenter, Daniel P., and George A. Krause. 2012. “Reputation and Public Administration.”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72 (1): 26–32. https://doi.org/10.1111/j.1540-6210.2011.02506.x.</w:t>
      </w:r>
    </w:p>
    <w:p w14:paraId="0BBA973F"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Cherone, Heather. 2023. “Chicago Sues Monsanto for Polluting City’s Air, Water, Soil with Toxic Chemicals.” WTTW News. September 20, 2023. https://news.wttw.com/2023/09/20/chicago-sues-monsanto-polluting-city-s-air-water-soil-toxic-chemicals.</w:t>
      </w:r>
    </w:p>
    <w:p w14:paraId="104905F6"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Crow, Deserai A., Elizabeth A. Albright, and Elizabeth Koebele. 2020. “Evaluating Stakeholder Participation and Influence on State‐Level Rulemaking.”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48 (4): 953–81. https://doi.org/10.1111/psj.12314.</w:t>
      </w:r>
    </w:p>
    <w:p w14:paraId="5C765913"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Delmas, Magali A., Dror Etzion, and Nicholas Nairn-Birch. 2013. “Triangulating Environmental Performance: What Do Corporate Social Responsibility Ratings Really Capture?” </w:t>
      </w:r>
      <w:r w:rsidRPr="00CC4E81">
        <w:rPr>
          <w:rFonts w:ascii="Times New Roman" w:hAnsi="Times New Roman" w:cs="Times New Roman"/>
          <w:i/>
          <w:iCs/>
          <w:sz w:val="24"/>
          <w:szCs w:val="24"/>
        </w:rPr>
        <w:t>Academy of Management Perspectives</w:t>
      </w:r>
      <w:r w:rsidRPr="00CC4E81">
        <w:rPr>
          <w:rFonts w:ascii="Times New Roman" w:hAnsi="Times New Roman" w:cs="Times New Roman"/>
          <w:sz w:val="24"/>
          <w:szCs w:val="24"/>
        </w:rPr>
        <w:t xml:space="preserve"> 27 (3): 255–67. https://doi.org/10.5465/amp.2012.0123.</w:t>
      </w:r>
    </w:p>
    <w:p w14:paraId="43441C46"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Delmas, Magali, Maria J. Montes‐Sancho, and Jay P. Shimshack. 2010. “INFORMATION DISCLOSURE POLICIES: EVIDENCE FROM THE ELECTRICITY INDUSTRY.” </w:t>
      </w:r>
      <w:r w:rsidRPr="00CC4E81">
        <w:rPr>
          <w:rFonts w:ascii="Times New Roman" w:hAnsi="Times New Roman" w:cs="Times New Roman"/>
          <w:i/>
          <w:iCs/>
          <w:sz w:val="24"/>
          <w:szCs w:val="24"/>
        </w:rPr>
        <w:t>Economic Inquiry</w:t>
      </w:r>
      <w:r w:rsidRPr="00CC4E81">
        <w:rPr>
          <w:rFonts w:ascii="Times New Roman" w:hAnsi="Times New Roman" w:cs="Times New Roman"/>
          <w:sz w:val="24"/>
          <w:szCs w:val="24"/>
        </w:rPr>
        <w:t xml:space="preserve"> 48 (2): 483–98. https://doi.org/10.1111/j.1465-7295.2009.00227.x.</w:t>
      </w:r>
    </w:p>
    <w:p w14:paraId="26FD7243"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Edwards, Eric C., Trevor O’Grady, and David Jenkins. 2019. “Sooner or Safer?” Center for Environmental and Resource Economic Policy. JSTOR. http://www.jstor.org.spot.lib.auburn.edu/stable/resrep37144.</w:t>
      </w:r>
    </w:p>
    <w:p w14:paraId="64153D18"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Etienne, J. 2015. “The Politics of Detection in Business Regulation.” </w:t>
      </w:r>
      <w:r w:rsidRPr="00CC4E81">
        <w:rPr>
          <w:rFonts w:ascii="Times New Roman" w:hAnsi="Times New Roman" w:cs="Times New Roman"/>
          <w:i/>
          <w:iCs/>
          <w:sz w:val="24"/>
          <w:szCs w:val="24"/>
        </w:rPr>
        <w:t>Journal of Public Administration Research and Theory</w:t>
      </w:r>
      <w:r w:rsidRPr="00CC4E81">
        <w:rPr>
          <w:rFonts w:ascii="Times New Roman" w:hAnsi="Times New Roman" w:cs="Times New Roman"/>
          <w:sz w:val="24"/>
          <w:szCs w:val="24"/>
        </w:rPr>
        <w:t xml:space="preserve"> 25 (1): 257–84. https://doi.org/10.1093/jopart/muu018.</w:t>
      </w:r>
    </w:p>
    <w:p w14:paraId="1DD5A9DF"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Fiorino, Daniel J. 2006. </w:t>
      </w:r>
      <w:r w:rsidRPr="00CC4E81">
        <w:rPr>
          <w:rFonts w:ascii="Times New Roman" w:hAnsi="Times New Roman" w:cs="Times New Roman"/>
          <w:i/>
          <w:iCs/>
          <w:sz w:val="24"/>
          <w:szCs w:val="24"/>
        </w:rPr>
        <w:t>The New Environmental Regulation</w:t>
      </w:r>
      <w:r w:rsidRPr="00CC4E81">
        <w:rPr>
          <w:rFonts w:ascii="Times New Roman" w:hAnsi="Times New Roman" w:cs="Times New Roman"/>
          <w:sz w:val="24"/>
          <w:szCs w:val="24"/>
        </w:rPr>
        <w:t>. Cambridge, Mass: MIT Press.</w:t>
      </w:r>
    </w:p>
    <w:p w14:paraId="28E295EC"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Fisk, Jonathan M. 2013. “The Right to Know? State Politics of Fracking Disclosure.” </w:t>
      </w:r>
      <w:r w:rsidRPr="00CC4E81">
        <w:rPr>
          <w:rFonts w:ascii="Times New Roman" w:hAnsi="Times New Roman" w:cs="Times New Roman"/>
          <w:i/>
          <w:iCs/>
          <w:sz w:val="24"/>
          <w:szCs w:val="24"/>
        </w:rPr>
        <w:t>Review of Policy Research</w:t>
      </w:r>
      <w:r w:rsidRPr="00CC4E81">
        <w:rPr>
          <w:rFonts w:ascii="Times New Roman" w:hAnsi="Times New Roman" w:cs="Times New Roman"/>
          <w:sz w:val="24"/>
          <w:szCs w:val="24"/>
        </w:rPr>
        <w:t xml:space="preserve"> 30 (4): 345–65. https://doi.org/10.1111/ropr.12025.</w:t>
      </w:r>
    </w:p>
    <w:p w14:paraId="179E4445"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lastRenderedPageBreak/>
        <w:t xml:space="preserve">———. 2017. </w:t>
      </w:r>
      <w:r w:rsidRPr="00CC4E81">
        <w:rPr>
          <w:rFonts w:ascii="Times New Roman" w:hAnsi="Times New Roman" w:cs="Times New Roman"/>
          <w:i/>
          <w:iCs/>
          <w:sz w:val="24"/>
          <w:szCs w:val="24"/>
        </w:rPr>
        <w:t>The Fracking Debate: Intergovernmental Politics of the Oil and Gas Renaissance</w:t>
      </w:r>
      <w:r w:rsidRPr="00CC4E81">
        <w:rPr>
          <w:rFonts w:ascii="Times New Roman" w:hAnsi="Times New Roman" w:cs="Times New Roman"/>
          <w:sz w:val="24"/>
          <w:szCs w:val="24"/>
        </w:rPr>
        <w:t>. 2nd ed. New York : Routledge, 2017.: Routledge. https://doi.org/10.4324/9781315212715.</w:t>
      </w:r>
    </w:p>
    <w:p w14:paraId="2DADD41F"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Fisk, Jonathan M., and A.J. Good. 2019. “Information Booms and Busts: Examining Oil and Gas Disclosure Policies across the States.” </w:t>
      </w:r>
      <w:r w:rsidRPr="00CC4E81">
        <w:rPr>
          <w:rFonts w:ascii="Times New Roman" w:hAnsi="Times New Roman" w:cs="Times New Roman"/>
          <w:i/>
          <w:iCs/>
          <w:sz w:val="24"/>
          <w:szCs w:val="24"/>
        </w:rPr>
        <w:t>Energy Policy</w:t>
      </w:r>
      <w:r w:rsidRPr="00CC4E81">
        <w:rPr>
          <w:rFonts w:ascii="Times New Roman" w:hAnsi="Times New Roman" w:cs="Times New Roman"/>
          <w:sz w:val="24"/>
          <w:szCs w:val="24"/>
        </w:rPr>
        <w:t xml:space="preserve"> 127 (April):374–81. https://doi.org/10.1016/j.enpol.2018.12.032.</w:t>
      </w:r>
    </w:p>
    <w:p w14:paraId="00AF86ED"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Fisk, Jonathan M., Soren Jordan, and A. J. Good. 2022. </w:t>
      </w:r>
      <w:r w:rsidRPr="00CC4E81">
        <w:rPr>
          <w:rFonts w:ascii="Times New Roman" w:hAnsi="Times New Roman" w:cs="Times New Roman"/>
          <w:i/>
          <w:iCs/>
          <w:sz w:val="24"/>
          <w:szCs w:val="24"/>
        </w:rPr>
        <w:t>The Shale Renaissance: How Fracking Has Changed Pennsylvania in the Twenty-First Century</w:t>
      </w:r>
      <w:r w:rsidRPr="00CC4E81">
        <w:rPr>
          <w:rFonts w:ascii="Times New Roman" w:hAnsi="Times New Roman" w:cs="Times New Roman"/>
          <w:sz w:val="24"/>
          <w:szCs w:val="24"/>
        </w:rPr>
        <w:t>. Pittsburgh, Pa: University of Pittsburgh Press.</w:t>
      </w:r>
    </w:p>
    <w:p w14:paraId="68D7E785"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Grimmelikhuijsen, Stephan, Gregory Porumbescu, Boram Hong, and Tobin Im. 2013. “The Effect of Transparency on Trust in Government: A Cross‐National Comparative Experiment.”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73 (4): 575–86. https://doi.org/10.1111/puar.12047.</w:t>
      </w:r>
    </w:p>
    <w:p w14:paraId="3DD9C6B7"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Grimmelikhuijsen, Stephan, and Eric W. Welch. 2012. “Developing and Testing a Theoretical Framework for Computer‐Mediated Transparency of Local Governments.”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72 (4): 562–71. https://doi.org/10.1111/j.1540-6210.2011.02532.x.</w:t>
      </w:r>
    </w:p>
    <w:p w14:paraId="66A920E9"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Hamilton, JT. 2005. </w:t>
      </w:r>
      <w:r w:rsidRPr="00CC4E81">
        <w:rPr>
          <w:rFonts w:ascii="Times New Roman" w:hAnsi="Times New Roman" w:cs="Times New Roman"/>
          <w:i/>
          <w:iCs/>
          <w:sz w:val="24"/>
          <w:szCs w:val="24"/>
        </w:rPr>
        <w:t>Regulation through Revelation The Origin, Politics, and Impacts of the Toxics Release Inventory Program Introduction</w:t>
      </w:r>
      <w:r w:rsidRPr="00CC4E81">
        <w:rPr>
          <w:rFonts w:ascii="Times New Roman" w:hAnsi="Times New Roman" w:cs="Times New Roman"/>
          <w:sz w:val="24"/>
          <w:szCs w:val="24"/>
        </w:rPr>
        <w:t>. https://doi.org/10.1596/978-0-8213-7891-5.</w:t>
      </w:r>
    </w:p>
    <w:p w14:paraId="016080F6"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Hansen, Jesper Asring, and Poul Aaes Nielsen. 2022. “How Do Public Managers Learn from Performance Information? Experimental Evidence on Problem Focus, Innovative Search, and Change.”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82 (5): 946–57. https://doi.org/10.1111/puar.13533.</w:t>
      </w:r>
    </w:p>
    <w:p w14:paraId="6E400993"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Heikkila, Tanya, Jonathan J. Pierce, Samuel Gallaher, Jennifer Kagan, Deserai A. Crow, and Christopher M. Weible. 2014. “Understanding a Period of Policy Change: The Case of Hydraulic Fracturing Disclosure Policy in Colorado.” </w:t>
      </w:r>
      <w:r w:rsidRPr="00CC4E81">
        <w:rPr>
          <w:rFonts w:ascii="Times New Roman" w:hAnsi="Times New Roman" w:cs="Times New Roman"/>
          <w:i/>
          <w:iCs/>
          <w:sz w:val="24"/>
          <w:szCs w:val="24"/>
        </w:rPr>
        <w:t>Review of Policy Research</w:t>
      </w:r>
      <w:r w:rsidRPr="00CC4E81">
        <w:rPr>
          <w:rFonts w:ascii="Times New Roman" w:hAnsi="Times New Roman" w:cs="Times New Roman"/>
          <w:sz w:val="24"/>
          <w:szCs w:val="24"/>
        </w:rPr>
        <w:t xml:space="preserve"> 31 (2): 65–87. https://doi.org/10.1111/ropr.12058.</w:t>
      </w:r>
    </w:p>
    <w:p w14:paraId="29BC2CB0"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Helland, Eric. 1998. “The Enforcement of Pollution Control Laws: Inspections, Violations, and Self-Reporting.” </w:t>
      </w:r>
      <w:r w:rsidRPr="00CC4E81">
        <w:rPr>
          <w:rFonts w:ascii="Times New Roman" w:hAnsi="Times New Roman" w:cs="Times New Roman"/>
          <w:i/>
          <w:iCs/>
          <w:sz w:val="24"/>
          <w:szCs w:val="24"/>
        </w:rPr>
        <w:t>Review of Economics and Statistics</w:t>
      </w:r>
      <w:r w:rsidRPr="00CC4E81">
        <w:rPr>
          <w:rFonts w:ascii="Times New Roman" w:hAnsi="Times New Roman" w:cs="Times New Roman"/>
          <w:sz w:val="24"/>
          <w:szCs w:val="24"/>
        </w:rPr>
        <w:t xml:space="preserve"> 80 (1): 141–53. https://doi.org/10.1162/003465398557249.</w:t>
      </w:r>
    </w:p>
    <w:p w14:paraId="330B2AB0"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Hiatt, Shon R., and Sangchan Park. 2013. “Lords of the Harvest: Third-Party Influence and Regulatory Approval of Genetically Modified Organisms.” </w:t>
      </w:r>
      <w:r w:rsidRPr="00CC4E81">
        <w:rPr>
          <w:rFonts w:ascii="Times New Roman" w:hAnsi="Times New Roman" w:cs="Times New Roman"/>
          <w:i/>
          <w:iCs/>
          <w:sz w:val="24"/>
          <w:szCs w:val="24"/>
        </w:rPr>
        <w:t>Academy of Management Journal</w:t>
      </w:r>
      <w:r w:rsidRPr="00CC4E81">
        <w:rPr>
          <w:rFonts w:ascii="Times New Roman" w:hAnsi="Times New Roman" w:cs="Times New Roman"/>
          <w:sz w:val="24"/>
          <w:szCs w:val="24"/>
        </w:rPr>
        <w:t xml:space="preserve"> 56 (4): 923–44. https://doi.org/10.5465/amj.2011.0128.</w:t>
      </w:r>
    </w:p>
    <w:p w14:paraId="4E71781B"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King, Gary. 1989. </w:t>
      </w:r>
      <w:r w:rsidRPr="00CC4E81">
        <w:rPr>
          <w:rFonts w:ascii="Times New Roman" w:hAnsi="Times New Roman" w:cs="Times New Roman"/>
          <w:i/>
          <w:iCs/>
          <w:sz w:val="24"/>
          <w:szCs w:val="24"/>
        </w:rPr>
        <w:t>Unifying Political Methodology: The Likelihood Theory of Statistical Inference</w:t>
      </w:r>
      <w:r w:rsidRPr="00CC4E81">
        <w:rPr>
          <w:rFonts w:ascii="Times New Roman" w:hAnsi="Times New Roman" w:cs="Times New Roman"/>
          <w:sz w:val="24"/>
          <w:szCs w:val="24"/>
        </w:rPr>
        <w:t>. 2011 Reprint. Cambridge, New York: Cambridge University Press.</w:t>
      </w:r>
    </w:p>
    <w:p w14:paraId="7219794D"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Klyza, Christopher McGrory, and David J. Sousa. 2013. </w:t>
      </w:r>
      <w:r w:rsidRPr="00CC4E81">
        <w:rPr>
          <w:rFonts w:ascii="Times New Roman" w:hAnsi="Times New Roman" w:cs="Times New Roman"/>
          <w:i/>
          <w:iCs/>
          <w:sz w:val="24"/>
          <w:szCs w:val="24"/>
        </w:rPr>
        <w:t>American Environmental Policy: Beyond Gridlock</w:t>
      </w:r>
      <w:r w:rsidRPr="00CC4E81">
        <w:rPr>
          <w:rFonts w:ascii="Times New Roman" w:hAnsi="Times New Roman" w:cs="Times New Roman"/>
          <w:sz w:val="24"/>
          <w:szCs w:val="24"/>
        </w:rPr>
        <w:t>. Updated and Expanded edition. American and Comparative Environmental Policy. Cambridge, Mass. London: MIT Press.</w:t>
      </w:r>
    </w:p>
    <w:p w14:paraId="564F627A"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Konisky, David M., and Christopher Reenock. 2013. “Compliance Bias and Environmental (In)Justice.” </w:t>
      </w:r>
      <w:r w:rsidRPr="00CC4E81">
        <w:rPr>
          <w:rFonts w:ascii="Times New Roman" w:hAnsi="Times New Roman" w:cs="Times New Roman"/>
          <w:i/>
          <w:iCs/>
          <w:sz w:val="24"/>
          <w:szCs w:val="24"/>
        </w:rPr>
        <w:t>The Journal of Politics</w:t>
      </w:r>
      <w:r w:rsidRPr="00CC4E81">
        <w:rPr>
          <w:rFonts w:ascii="Times New Roman" w:hAnsi="Times New Roman" w:cs="Times New Roman"/>
          <w:sz w:val="24"/>
          <w:szCs w:val="24"/>
        </w:rPr>
        <w:t xml:space="preserve"> 75 (2): 506–19. https://doi.org/10.1017/S0022381613000170.</w:t>
      </w:r>
    </w:p>
    <w:p w14:paraId="3E81C48D"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 2018. “Regulatory Enforcement, Riskscapes, and Environmental Justice.”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46 (1): 7–36. https://doi.org/10.1111/psj.12203.</w:t>
      </w:r>
    </w:p>
    <w:p w14:paraId="135E3416"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Kraft, Michael E., Mark Stephan, and Troy D. Abel. 2011. </w:t>
      </w:r>
      <w:r w:rsidRPr="00CC4E81">
        <w:rPr>
          <w:rFonts w:ascii="Times New Roman" w:hAnsi="Times New Roman" w:cs="Times New Roman"/>
          <w:i/>
          <w:iCs/>
          <w:sz w:val="24"/>
          <w:szCs w:val="24"/>
        </w:rPr>
        <w:t>Coming Clean: Information Disclosure and Environmental Performance</w:t>
      </w:r>
      <w:r w:rsidRPr="00CC4E81">
        <w:rPr>
          <w:rFonts w:ascii="Times New Roman" w:hAnsi="Times New Roman" w:cs="Times New Roman"/>
          <w:sz w:val="24"/>
          <w:szCs w:val="24"/>
        </w:rPr>
        <w:t>. Cambridge, Mass.: MIT Press.</w:t>
      </w:r>
    </w:p>
    <w:p w14:paraId="2000E1D2"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lastRenderedPageBreak/>
        <w:t xml:space="preserve">Lee, Danbee. 2022. “Managing Bureaucratic Reputation in the Face of Crises: An Experimental Examination of the Effect of Strategic Communication.”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82 (6): 1124–37. https://doi.org/10.1111/puar.13520.</w:t>
      </w:r>
    </w:p>
    <w:p w14:paraId="5CE4071C"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Li, Zhengyan. 2023. “Bureaucratic Response to Performance Information: How Mandatory Information Disclosure Affects Environmental Inspections.”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83 (4): 750–62. https://doi.org/10.1111/puar.13636.</w:t>
      </w:r>
    </w:p>
    <w:p w14:paraId="32F1A480"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Lim, Sijeong, and Aseem Prakash. 2014. “Voluntary Regulations and Innovation: The Case of </w:t>
      </w:r>
      <w:r w:rsidRPr="00CC4E81">
        <w:rPr>
          <w:rFonts w:ascii="Times New Roman" w:hAnsi="Times New Roman" w:cs="Times New Roman"/>
          <w:smallCaps/>
          <w:sz w:val="24"/>
          <w:szCs w:val="24"/>
        </w:rPr>
        <w:t>ISO</w:t>
      </w:r>
      <w:r w:rsidRPr="00CC4E81">
        <w:rPr>
          <w:rFonts w:ascii="Times New Roman" w:hAnsi="Times New Roman" w:cs="Times New Roman"/>
          <w:sz w:val="24"/>
          <w:szCs w:val="24"/>
        </w:rPr>
        <w:t xml:space="preserve"> 14001.”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74 (2): 233–44. https://doi.org/10.1111/puar.12189.</w:t>
      </w:r>
    </w:p>
    <w:p w14:paraId="7B40887B"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Maor, Moshe, and Raanan Sulitzeanu‐Kenan. 2013. “The Effect of Salient Reputational Threats on the Pace of FDA Enforcement.” </w:t>
      </w:r>
      <w:r w:rsidRPr="00CC4E81">
        <w:rPr>
          <w:rFonts w:ascii="Times New Roman" w:hAnsi="Times New Roman" w:cs="Times New Roman"/>
          <w:i/>
          <w:iCs/>
          <w:sz w:val="24"/>
          <w:szCs w:val="24"/>
        </w:rPr>
        <w:t>Governance</w:t>
      </w:r>
      <w:r w:rsidRPr="00CC4E81">
        <w:rPr>
          <w:rFonts w:ascii="Times New Roman" w:hAnsi="Times New Roman" w:cs="Times New Roman"/>
          <w:sz w:val="24"/>
          <w:szCs w:val="24"/>
        </w:rPr>
        <w:t xml:space="preserve"> 26 (1): 31–61. https://doi.org/10.1111/j.1468-0491.2012.01601.x.</w:t>
      </w:r>
    </w:p>
    <w:p w14:paraId="75C0C98C"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Marquis, Christopher, Michael W. Toffel, and Yanhua Zhou. 2016. “Scrutiny, Norms, and Selective Disclosure: A Global Study of Greenwashing.” </w:t>
      </w:r>
      <w:r w:rsidRPr="00CC4E81">
        <w:rPr>
          <w:rFonts w:ascii="Times New Roman" w:hAnsi="Times New Roman" w:cs="Times New Roman"/>
          <w:i/>
          <w:iCs/>
          <w:sz w:val="24"/>
          <w:szCs w:val="24"/>
        </w:rPr>
        <w:t>Organization Science</w:t>
      </w:r>
      <w:r w:rsidRPr="00CC4E81">
        <w:rPr>
          <w:rFonts w:ascii="Times New Roman" w:hAnsi="Times New Roman" w:cs="Times New Roman"/>
          <w:sz w:val="24"/>
          <w:szCs w:val="24"/>
        </w:rPr>
        <w:t xml:space="preserve"> 27 (2): 483–504. https://doi.org/10.1287/orsc.2015.1039.</w:t>
      </w:r>
    </w:p>
    <w:p w14:paraId="0000EB3C"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Mason, Michael. 2020. “Transparency, Accountability and Empowerment in Sustainability Governance: A Conceptual Review.” </w:t>
      </w:r>
      <w:r w:rsidRPr="00CC4E81">
        <w:rPr>
          <w:rFonts w:ascii="Times New Roman" w:hAnsi="Times New Roman" w:cs="Times New Roman"/>
          <w:i/>
          <w:iCs/>
          <w:sz w:val="24"/>
          <w:szCs w:val="24"/>
        </w:rPr>
        <w:t>Journal of Environmental Policy &amp; Planning</w:t>
      </w:r>
      <w:r w:rsidRPr="00CC4E81">
        <w:rPr>
          <w:rFonts w:ascii="Times New Roman" w:hAnsi="Times New Roman" w:cs="Times New Roman"/>
          <w:sz w:val="24"/>
          <w:szCs w:val="24"/>
        </w:rPr>
        <w:t xml:space="preserve"> 22 (1): 98–111. https://doi.org/10.1080/1523908X.2019.1661231.</w:t>
      </w:r>
    </w:p>
    <w:p w14:paraId="3E4D1B83"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Meier, Kenneth J., Miyeon Song, Jourdan A. Davis, and Anna A. Amirkhanyan. 2022. “Sector Bias and the Credibility of Performance Information: An Experimental Study of Elder Care Provision.”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82 (1): 69–82. https://doi.org/10.1111/puar.13425.</w:t>
      </w:r>
    </w:p>
    <w:p w14:paraId="2F254BB5"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Moody, Joe. 2023. “‘Bad Chemistry,’ An APR News Series-- ‘Anniston and Monsanto: Twenty Years Later.’” Broadcast transcript. Alabama Public Radio. August 24, 2023. https://www.apr.org/news/2023-08-24/anniston-and-monsanto-twenty-years-later.</w:t>
      </w:r>
    </w:p>
    <w:p w14:paraId="44D61B39"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Moynihan, D. P., and D. P. Hawes. 2012. “Responsiveness to Reform Values: The Influence of the Environment on Performance Information Use.”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72 (s1). https://doi.org/10.1111/j.1540-6210.2012.02653.x.</w:t>
      </w:r>
    </w:p>
    <w:p w14:paraId="64DF2396"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Moynihan, D. P., and S. K. Pandey. 2010. “The Big Question for Performance Management: Why Do Managers Use Performance Information?” </w:t>
      </w:r>
      <w:r w:rsidRPr="00CC4E81">
        <w:rPr>
          <w:rFonts w:ascii="Times New Roman" w:hAnsi="Times New Roman" w:cs="Times New Roman"/>
          <w:i/>
          <w:iCs/>
          <w:sz w:val="24"/>
          <w:szCs w:val="24"/>
        </w:rPr>
        <w:t>Journal of Public Administration Research and Theory</w:t>
      </w:r>
      <w:r w:rsidRPr="00CC4E81">
        <w:rPr>
          <w:rFonts w:ascii="Times New Roman" w:hAnsi="Times New Roman" w:cs="Times New Roman"/>
          <w:sz w:val="24"/>
          <w:szCs w:val="24"/>
        </w:rPr>
        <w:t xml:space="preserve"> 20 (4): 849–66. https://doi.org/10.1093/jopart/muq004.</w:t>
      </w:r>
    </w:p>
    <w:p w14:paraId="5F650F13"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Moynihan, D. P., and J. Soss. 2014. “Policy Feedback and the Politics of Administration.”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74 (3): 320–32. https://doi.org/10.1111/puar.12200.</w:t>
      </w:r>
    </w:p>
    <w:p w14:paraId="43004716"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Newsome, Melba. 2021. “Decades of Legal Battles over Pollution by Industrial Hog Farms Haven’t Changed Much for Eastern NC Residents Burdened by Environmental Racism.” North Carolina Health News. October 29, 2021. http://www.northcarolinahealthnews.org/2021/10/29/legal-battles-over-pollution-from-hog-waste-environmental-racism-havent-changed-much/.</w:t>
      </w:r>
    </w:p>
    <w:p w14:paraId="7CB3E224"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Niles, Meredith T., and Mark Lubell. 2012. “Integrative Frontiers in Environmental Policy Theory and Research.”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40 (s1): 41–64. https://doi.org/10.1111/j.1541-0072.2012.00445.x.</w:t>
      </w:r>
    </w:p>
    <w:p w14:paraId="1BF78667"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Noonan, Douglas S. 2014. “Smoggy with a Chance of Altruism: The Effects of Ozone Alerts on Outdoor Recreation and Driving in Atlanta.”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42 (1): 122–45. https://doi.org/10.1111/psj.12045.</w:t>
      </w:r>
    </w:p>
    <w:p w14:paraId="01EBD2B2"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lastRenderedPageBreak/>
        <w:t xml:space="preserve">Pautz, Michelle C., and Sara R. Rinfret. 2013. </w:t>
      </w:r>
      <w:r w:rsidRPr="00CC4E81">
        <w:rPr>
          <w:rFonts w:ascii="Times New Roman" w:hAnsi="Times New Roman" w:cs="Times New Roman"/>
          <w:i/>
          <w:iCs/>
          <w:sz w:val="24"/>
          <w:szCs w:val="24"/>
        </w:rPr>
        <w:t>The Lilliputians of Environmental Regulation: The Perspective of State Regulators</w:t>
      </w:r>
      <w:r w:rsidRPr="00CC4E81">
        <w:rPr>
          <w:rFonts w:ascii="Times New Roman" w:hAnsi="Times New Roman" w:cs="Times New Roman"/>
          <w:sz w:val="24"/>
          <w:szCs w:val="24"/>
        </w:rPr>
        <w:t>. Routledge Research in Environmental Policy and Politics 2. New York, N.Y: Routledge. https://doi.org/10.4324/9780203143933.</w:t>
      </w:r>
    </w:p>
    <w:p w14:paraId="4EFEAFC2"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Prakash, A, and M Potoski. 2007. “Collective Action through Voluntary Environmental Programs: A Club Theory Perspective.”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35 (4): 773–92. https://doi.org/10.1111/j.1541-0072.2007.00247.x.</w:t>
      </w:r>
    </w:p>
    <w:p w14:paraId="1BA98F0E"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Rabe, Barry G., and Christopher Borick. 2013. “Conventional Politics for Unconventional Drilling? Lessons from Pennsylvania’s Early Move into Fracking Policy Development.” </w:t>
      </w:r>
      <w:r w:rsidRPr="00CC4E81">
        <w:rPr>
          <w:rFonts w:ascii="Times New Roman" w:hAnsi="Times New Roman" w:cs="Times New Roman"/>
          <w:i/>
          <w:iCs/>
          <w:sz w:val="24"/>
          <w:szCs w:val="24"/>
        </w:rPr>
        <w:t>Review of Policy Research</w:t>
      </w:r>
      <w:r w:rsidRPr="00CC4E81">
        <w:rPr>
          <w:rFonts w:ascii="Times New Roman" w:hAnsi="Times New Roman" w:cs="Times New Roman"/>
          <w:sz w:val="24"/>
          <w:szCs w:val="24"/>
        </w:rPr>
        <w:t xml:space="preserve"> 30 (3): 321–40. https://doi.org/10.1111/ropr.12018.</w:t>
      </w:r>
    </w:p>
    <w:p w14:paraId="52E1D3F1"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Rodriguez, Elias. 2024. “New Toxics Release Inventory Data Reported.” News Release. U.S. EPA. Northeast. March 21, 2024. https://www.epa.gov/newsreleases/new-toxics-release-inventory-data-reported.</w:t>
      </w:r>
    </w:p>
    <w:p w14:paraId="3C8CA5CF"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RRC. 2019. “Railroad Commission Launches Texas’ First Online Searchable Database.” Government Press Release. Railroad Commission of Texas. January 23, 2019. https://www.rrc.texas.gov/news/012319a-railroad-commission-launches-texas-first-online-searchable-database/.</w:t>
      </w:r>
    </w:p>
    <w:p w14:paraId="7AC1C732"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2022. “Oil &amp; Gas Monitoring &amp; Enforcement Plan | Fiscal Year 2023.” Railroad Commission of Texas.</w:t>
      </w:r>
    </w:p>
    <w:p w14:paraId="7703B090"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2025. “Federally Funded Well Plugging.” Government Press Release. Railroad Commission of Texas. 2025. https://www.rrc.texas.gov/oil-and-gas/environmental-cleanup-programs/federally-funded-well-plugging/.</w:t>
      </w:r>
    </w:p>
    <w:p w14:paraId="639977A0"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Scholz, John T., and Feng Heng Wei. 1986. “Regulatory Enforcement in a Federalist System.” </w:t>
      </w:r>
      <w:r w:rsidRPr="00CC4E81">
        <w:rPr>
          <w:rFonts w:ascii="Times New Roman" w:hAnsi="Times New Roman" w:cs="Times New Roman"/>
          <w:i/>
          <w:iCs/>
          <w:sz w:val="24"/>
          <w:szCs w:val="24"/>
        </w:rPr>
        <w:t>American Political Science Review</w:t>
      </w:r>
      <w:r w:rsidRPr="00CC4E81">
        <w:rPr>
          <w:rFonts w:ascii="Times New Roman" w:hAnsi="Times New Roman" w:cs="Times New Roman"/>
          <w:sz w:val="24"/>
          <w:szCs w:val="24"/>
        </w:rPr>
        <w:t xml:space="preserve"> 80 (4): 1249–70. https://doi.org/10.2307/1960866.</w:t>
      </w:r>
    </w:p>
    <w:p w14:paraId="118F23F2"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Tietenberg, Tom. 1998. “Disclosure Strategies for Pollution Control.” </w:t>
      </w:r>
      <w:r w:rsidRPr="00CC4E81">
        <w:rPr>
          <w:rFonts w:ascii="Times New Roman" w:hAnsi="Times New Roman" w:cs="Times New Roman"/>
          <w:i/>
          <w:iCs/>
          <w:sz w:val="24"/>
          <w:szCs w:val="24"/>
        </w:rPr>
        <w:t>Environmental and Resource Economics</w:t>
      </w:r>
      <w:r w:rsidRPr="00CC4E81">
        <w:rPr>
          <w:rFonts w:ascii="Times New Roman" w:hAnsi="Times New Roman" w:cs="Times New Roman"/>
          <w:sz w:val="24"/>
          <w:szCs w:val="24"/>
        </w:rPr>
        <w:t xml:space="preserve"> 11 (3/4): 587–602. https://doi.org/10.1023/A:1008291411492.</w:t>
      </w:r>
    </w:p>
    <w:p w14:paraId="3B62C731"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Tremblay-Boire, Joannie, and Aseem Prakash. 2015. “Accountability.Org: Online Disclosures by U.S. Nonprofits.” </w:t>
      </w:r>
      <w:r w:rsidRPr="00CC4E81">
        <w:rPr>
          <w:rFonts w:ascii="Times New Roman" w:hAnsi="Times New Roman" w:cs="Times New Roman"/>
          <w:i/>
          <w:iCs/>
          <w:sz w:val="24"/>
          <w:szCs w:val="24"/>
        </w:rPr>
        <w:t>VOLUNTAS: International Journal of Voluntary and Nonprofit Organizations</w:t>
      </w:r>
      <w:r w:rsidRPr="00CC4E81">
        <w:rPr>
          <w:rFonts w:ascii="Times New Roman" w:hAnsi="Times New Roman" w:cs="Times New Roman"/>
          <w:sz w:val="24"/>
          <w:szCs w:val="24"/>
        </w:rPr>
        <w:t xml:space="preserve"> 26 (2): 693–719. https://doi.org/10.1007/s11266-014-9452-3.</w:t>
      </w:r>
    </w:p>
    <w:p w14:paraId="57807931"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Ward, Michael Don, and Kristian Skrede Gleditsch. 2019. </w:t>
      </w:r>
      <w:r w:rsidRPr="00CC4E81">
        <w:rPr>
          <w:rFonts w:ascii="Times New Roman" w:hAnsi="Times New Roman" w:cs="Times New Roman"/>
          <w:i/>
          <w:iCs/>
          <w:sz w:val="24"/>
          <w:szCs w:val="24"/>
        </w:rPr>
        <w:t>Spatial Regression Models</w:t>
      </w:r>
      <w:r w:rsidRPr="00CC4E81">
        <w:rPr>
          <w:rFonts w:ascii="Times New Roman" w:hAnsi="Times New Roman" w:cs="Times New Roman"/>
          <w:sz w:val="24"/>
          <w:szCs w:val="24"/>
        </w:rPr>
        <w:t>. Second Edition. Quantitative Applications in the Social Sciences 155. Los Angeles: SAGE.</w:t>
      </w:r>
    </w:p>
    <w:p w14:paraId="76B63732"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Weible, Christopher M., Tanya Heikkila, and David P. Carter. 2017. “An Institutional and Opinion Analysis of Colorado’s Hydraulic Fracturing Disclosure Policy.” </w:t>
      </w:r>
      <w:r w:rsidRPr="00CC4E81">
        <w:rPr>
          <w:rFonts w:ascii="Times New Roman" w:hAnsi="Times New Roman" w:cs="Times New Roman"/>
          <w:i/>
          <w:iCs/>
          <w:sz w:val="24"/>
          <w:szCs w:val="24"/>
        </w:rPr>
        <w:t>Journal of Environmental Policy &amp; Planning</w:t>
      </w:r>
      <w:r w:rsidRPr="00CC4E81">
        <w:rPr>
          <w:rFonts w:ascii="Times New Roman" w:hAnsi="Times New Roman" w:cs="Times New Roman"/>
          <w:sz w:val="24"/>
          <w:szCs w:val="24"/>
        </w:rPr>
        <w:t xml:space="preserve"> 19 (2): 115–34. https://doi.org/10.1080/1523908X.2016.1150776.</w:t>
      </w:r>
    </w:p>
    <w:p w14:paraId="477076AB"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Woods, Neal D. 2006. “Interstate Competition and Environmental Regulation: A Test of the Race‐to‐the‐Bottom Thesis</w:t>
      </w:r>
      <w:r w:rsidRPr="00CC4E81">
        <w:rPr>
          <w:rFonts w:ascii="Times New Roman" w:hAnsi="Times New Roman" w:cs="Times New Roman"/>
          <w:sz w:val="24"/>
          <w:szCs w:val="24"/>
          <w:vertAlign w:val="superscript"/>
        </w:rPr>
        <w:t>*</w:t>
      </w:r>
      <w:r w:rsidRPr="00CC4E81">
        <w:rPr>
          <w:rFonts w:ascii="Times New Roman" w:hAnsi="Times New Roman" w:cs="Times New Roman"/>
          <w:sz w:val="24"/>
          <w:szCs w:val="24"/>
        </w:rPr>
        <w:t xml:space="preserve">.” </w:t>
      </w:r>
      <w:r w:rsidRPr="00CC4E81">
        <w:rPr>
          <w:rFonts w:ascii="Times New Roman" w:hAnsi="Times New Roman" w:cs="Times New Roman"/>
          <w:i/>
          <w:iCs/>
          <w:sz w:val="24"/>
          <w:szCs w:val="24"/>
        </w:rPr>
        <w:t>Social Science Quarterly</w:t>
      </w:r>
      <w:r w:rsidRPr="00CC4E81">
        <w:rPr>
          <w:rFonts w:ascii="Times New Roman" w:hAnsi="Times New Roman" w:cs="Times New Roman"/>
          <w:sz w:val="24"/>
          <w:szCs w:val="24"/>
        </w:rPr>
        <w:t xml:space="preserve"> 87 (1): 174–89. https://doi.org/10.1111/j.0038-4941.2006.00375.x.</w:t>
      </w:r>
    </w:p>
    <w:p w14:paraId="4085618D" w14:textId="77777777" w:rsidR="003C5338" w:rsidRPr="00CC4E81" w:rsidRDefault="003C5338" w:rsidP="003C5338">
      <w:pPr>
        <w:pStyle w:val="Bibliography"/>
        <w:rPr>
          <w:rFonts w:ascii="Times New Roman" w:hAnsi="Times New Roman" w:cs="Times New Roman"/>
          <w:sz w:val="24"/>
          <w:szCs w:val="24"/>
        </w:rPr>
      </w:pPr>
      <w:r w:rsidRPr="00CC4E81">
        <w:rPr>
          <w:rFonts w:ascii="Times New Roman" w:hAnsi="Times New Roman" w:cs="Times New Roman"/>
          <w:sz w:val="24"/>
          <w:szCs w:val="24"/>
        </w:rPr>
        <w:t xml:space="preserve">Young, Matthew M. 2020. “Implementation of Digital‐Era Governance: The Case of Open Data in U.S. Cities.”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80 (2): 305–15. https://doi.org/10.1111/puar.13156.</w:t>
      </w:r>
    </w:p>
    <w:p w14:paraId="68626D0E" w14:textId="736A3D5B" w:rsidR="00500C0B" w:rsidRPr="00CC4E81" w:rsidRDefault="00ED02EB" w:rsidP="00B80B38">
      <w:pPr>
        <w:spacing w:after="0" w:line="480" w:lineRule="auto"/>
        <w:rPr>
          <w:rFonts w:ascii="Times New Roman" w:hAnsi="Times New Roman" w:cs="Times New Roman"/>
          <w:sz w:val="24"/>
          <w:szCs w:val="24"/>
        </w:rPr>
      </w:pPr>
      <w:r w:rsidRPr="00CC4E81">
        <w:rPr>
          <w:rFonts w:ascii="Times New Roman" w:eastAsia="Garamond" w:hAnsi="Times New Roman" w:cs="Times New Roman"/>
          <w:b/>
          <w:bCs/>
          <w:sz w:val="24"/>
          <w:szCs w:val="24"/>
        </w:rPr>
        <w:fldChar w:fldCharType="end"/>
      </w:r>
    </w:p>
    <w:sectPr w:rsidR="00500C0B" w:rsidRPr="00CC4E8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formProt w:val="0"/>
      <w:titlePg/>
      <w:docGrid w:linePitch="10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1970B" w14:textId="77777777" w:rsidR="00FE5100" w:rsidRDefault="00FE5100">
      <w:pPr>
        <w:spacing w:after="0" w:line="240" w:lineRule="auto"/>
      </w:pPr>
      <w:r>
        <w:separator/>
      </w:r>
    </w:p>
  </w:endnote>
  <w:endnote w:type="continuationSeparator" w:id="0">
    <w:p w14:paraId="2B86A30E" w14:textId="77777777" w:rsidR="00FE5100" w:rsidRDefault="00FE51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auto"/>
    <w:pitch w:val="default"/>
  </w:font>
  <w:font w:name="Noto Sans CJK SC">
    <w:charset w:val="00"/>
    <w:family w:val="auto"/>
    <w:pitch w:val="default"/>
  </w:font>
  <w:font w:name="Noto Sans Devanagari">
    <w:charset w:val="00"/>
    <w:family w:val="swiss"/>
    <w:pitch w:val="variable"/>
    <w:sig w:usb0="80008023" w:usb1="00002046" w:usb2="00000000" w:usb3="00000000" w:csb0="00000001" w:csb1="00000000"/>
  </w:font>
  <w:font w:name="Helvetica">
    <w:panose1 w:val="020B0604020202020204"/>
    <w:charset w:val="00"/>
    <w:family w:val="auto"/>
    <w:pitch w:val="variable"/>
    <w:sig w:usb0="E00002FF" w:usb1="5000785B" w:usb2="00000000" w:usb3="00000000" w:csb0="0000019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EFEA6" w14:textId="77777777" w:rsidR="00500C0B" w:rsidRDefault="00ED02EB">
    <w:pPr>
      <w:pStyle w:val="Footer"/>
      <w:ind w:right="360"/>
    </w:pPr>
    <w:r>
      <w:rPr>
        <w:noProof/>
      </w:rPr>
      <mc:AlternateContent>
        <mc:Choice Requires="wps">
          <w:drawing>
            <wp:anchor distT="0" distB="0" distL="0" distR="0" simplePos="0" relativeHeight="80" behindDoc="1" locked="0" layoutInCell="0" allowOverlap="1" wp14:anchorId="31B3A15A" wp14:editId="689FEADF">
              <wp:simplePos x="0" y="0"/>
              <wp:positionH relativeFrom="margin">
                <wp:align>right</wp:align>
              </wp:positionH>
              <wp:positionV relativeFrom="paragraph">
                <wp:posOffset>635</wp:posOffset>
              </wp:positionV>
              <wp:extent cx="14605" cy="14605"/>
              <wp:effectExtent l="0" t="0" r="0" b="0"/>
              <wp:wrapNone/>
              <wp:docPr id="3" name="Frame1"/>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sdt>
                          <w:sdtPr>
                            <w:id w:val="-1232160214"/>
                            <w:docPartObj>
                              <w:docPartGallery w:val="Page Numbers (Bottom of Page)"/>
                              <w:docPartUnique/>
                            </w:docPartObj>
                          </w:sdtPr>
                          <w:sdtEndPr/>
                          <w:sdtContent>
                            <w:p w14:paraId="522A3647" w14:textId="77777777" w:rsidR="00500C0B" w:rsidRDefault="00ED02EB">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p w14:paraId="387124A0" w14:textId="77777777" w:rsidR="00500C0B" w:rsidRDefault="00ED02EB">
                              <w:pPr>
                                <w:pStyle w:val="Footer"/>
                                <w:ind w:right="360"/>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sdtContent>
                        </w:sdt>
                      </w:txbxContent>
                    </wps:txbx>
                    <wps:bodyPr lIns="0" tIns="0" rIns="0" bIns="0" anchor="t">
                      <a:spAutoFit/>
                    </wps:bodyPr>
                  </wps:wsp>
                </a:graphicData>
              </a:graphic>
            </wp:anchor>
          </w:drawing>
        </mc:Choice>
        <mc:Fallback>
          <w:pict>
            <v:rect w14:anchorId="31B3A15A" id="Frame1" o:spid="_x0000_s1026" style="position:absolute;margin-left:-50.05pt;margin-top:.05pt;width:1.15pt;height:1.15pt;z-index:-50331640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" o:allowincell="f" filled="f" stroked="f" strokeweight="0">
              <v:textbox style="mso-fit-shape-to-text:t" inset="0,0,0,0">
                <w:txbxContent>
                  <w:sdt>
                    <w:sdtPr>
                      <w:id w:val="-1232160214"/>
                      <w:docPartObj>
                        <w:docPartGallery w:val="Page Numbers (Bottom of Page)"/>
                        <w:docPartUnique/>
                      </w:docPartObj>
                    </w:sdtPr>
                    <w:sdtEndPr/>
                    <w:sdtContent>
                      <w:p w14:paraId="522A3647" w14:textId="77777777" w:rsidR="00500C0B" w:rsidRDefault="00ED02EB">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p w14:paraId="387124A0" w14:textId="77777777" w:rsidR="00500C0B" w:rsidRDefault="00ED02EB">
                        <w:pPr>
                          <w:pStyle w:val="Footer"/>
                          <w:ind w:right="360"/>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sdtContent>
                  </w:sdt>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6240" w:type="dxa"/>
      <w:tblLayout w:type="fixed"/>
      <w:tblLook w:val="06A0" w:firstRow="1" w:lastRow="0" w:firstColumn="1" w:lastColumn="0" w:noHBand="1" w:noVBand="1"/>
    </w:tblPr>
    <w:tblGrid>
      <w:gridCol w:w="3120"/>
      <w:gridCol w:w="3120"/>
    </w:tblGrid>
    <w:tr w:rsidR="00B53026" w14:paraId="015B8D0D" w14:textId="77777777" w:rsidTr="002F6B12">
      <w:trPr>
        <w:trHeight w:val="300"/>
      </w:trPr>
      <w:tc>
        <w:tcPr>
          <w:tcW w:w="3120" w:type="dxa"/>
        </w:tcPr>
        <w:p w14:paraId="3A366D9A" w14:textId="77777777" w:rsidR="00B53026" w:rsidRDefault="00B53026">
          <w:pPr>
            <w:pStyle w:val="Header"/>
            <w:jc w:val="center"/>
          </w:pPr>
        </w:p>
      </w:tc>
      <w:tc>
        <w:tcPr>
          <w:tcW w:w="3120" w:type="dxa"/>
        </w:tcPr>
        <w:p w14:paraId="55177E77" w14:textId="77777777" w:rsidR="00B53026" w:rsidRDefault="00B53026">
          <w:pPr>
            <w:pStyle w:val="Header"/>
            <w:ind w:right="-115"/>
            <w:jc w:val="right"/>
          </w:pPr>
        </w:p>
      </w:tc>
    </w:tr>
  </w:tbl>
  <w:p w14:paraId="303EDBD4" w14:textId="77777777" w:rsidR="00500C0B" w:rsidRDefault="00500C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Layout w:type="fixed"/>
      <w:tblLook w:val="06A0" w:firstRow="1" w:lastRow="0" w:firstColumn="1" w:lastColumn="0" w:noHBand="1" w:noVBand="1"/>
    </w:tblPr>
    <w:tblGrid>
      <w:gridCol w:w="3120"/>
      <w:gridCol w:w="3120"/>
      <w:gridCol w:w="3120"/>
    </w:tblGrid>
    <w:tr w:rsidR="00500C0B" w14:paraId="128F9481" w14:textId="77777777">
      <w:trPr>
        <w:trHeight w:val="300"/>
      </w:trPr>
      <w:tc>
        <w:tcPr>
          <w:tcW w:w="3120" w:type="dxa"/>
        </w:tcPr>
        <w:p w14:paraId="45A6E157" w14:textId="77777777" w:rsidR="00500C0B" w:rsidRDefault="00500C0B">
          <w:pPr>
            <w:pStyle w:val="Header"/>
            <w:ind w:left="-115"/>
          </w:pPr>
        </w:p>
      </w:tc>
      <w:tc>
        <w:tcPr>
          <w:tcW w:w="3120" w:type="dxa"/>
        </w:tcPr>
        <w:p w14:paraId="2E1F92A9" w14:textId="77777777" w:rsidR="00500C0B" w:rsidRDefault="00500C0B">
          <w:pPr>
            <w:pStyle w:val="Header"/>
            <w:jc w:val="center"/>
          </w:pPr>
        </w:p>
      </w:tc>
      <w:tc>
        <w:tcPr>
          <w:tcW w:w="3120" w:type="dxa"/>
        </w:tcPr>
        <w:p w14:paraId="0C4A1EE3" w14:textId="77777777" w:rsidR="00500C0B" w:rsidRDefault="00500C0B">
          <w:pPr>
            <w:pStyle w:val="Header"/>
            <w:ind w:right="-115"/>
            <w:jc w:val="right"/>
          </w:pPr>
        </w:p>
      </w:tc>
    </w:tr>
  </w:tbl>
  <w:p w14:paraId="2940C885" w14:textId="77777777" w:rsidR="00500C0B" w:rsidRDefault="00500C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2CF9A" w14:textId="77777777" w:rsidR="00FE5100" w:rsidRDefault="00FE5100">
      <w:r>
        <w:separator/>
      </w:r>
    </w:p>
  </w:footnote>
  <w:footnote w:type="continuationSeparator" w:id="0">
    <w:p w14:paraId="16179B0A" w14:textId="77777777" w:rsidR="00FE5100" w:rsidRDefault="00FE5100">
      <w:r>
        <w:continuationSeparator/>
      </w:r>
    </w:p>
  </w:footnote>
  <w:footnote w:id="1">
    <w:p w14:paraId="1295571E" w14:textId="77777777" w:rsidR="00500C0B" w:rsidRPr="002F6B12" w:rsidRDefault="00ED02EB">
      <w:pPr>
        <w:pStyle w:val="FootnoteText"/>
        <w:rPr>
          <w:rFonts w:ascii="Times New Roman" w:hAnsi="Times New Roman" w:cs="Times New Roman"/>
        </w:rPr>
      </w:pPr>
      <w:r w:rsidRPr="006E5846">
        <w:rPr>
          <w:rStyle w:val="FootnoteReference"/>
        </w:rPr>
        <w:footnoteRef/>
      </w:r>
      <w:r w:rsidRPr="002F6B12">
        <w:rPr>
          <w:rFonts w:ascii="Times New Roman" w:hAnsi="Times New Roman" w:cs="Times New Roman"/>
        </w:rPr>
        <w:t xml:space="preserve"> The data presented in Table 2 consists of the full data frame generated from the RRC violations deliminated data from 2016–2023 before processing for analysis.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8504463"/>
      <w:docPartObj>
        <w:docPartGallery w:val="Page Numbers (Top of Page)"/>
        <w:docPartUnique/>
      </w:docPartObj>
    </w:sdtPr>
    <w:sdtEndPr>
      <w:rPr>
        <w:rStyle w:val="PageNumber"/>
      </w:rPr>
    </w:sdtEndPr>
    <w:sdtContent>
      <w:p w14:paraId="76DB87AC" w14:textId="5602919F" w:rsidR="00B53026" w:rsidRDefault="00B53026" w:rsidP="007D7F5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BA5855" w14:textId="77777777" w:rsidR="00B53026" w:rsidRDefault="00B53026" w:rsidP="002F6B1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8376274"/>
      <w:docPartObj>
        <w:docPartGallery w:val="Page Numbers (Top of Page)"/>
        <w:docPartUnique/>
      </w:docPartObj>
    </w:sdtPr>
    <w:sdtEndPr>
      <w:rPr>
        <w:rStyle w:val="PageNumber"/>
      </w:rPr>
    </w:sdtEndPr>
    <w:sdtContent>
      <w:p w14:paraId="557DC9C1" w14:textId="024EEF08" w:rsidR="00B53026" w:rsidRDefault="00B53026" w:rsidP="007D7F50">
        <w:pPr>
          <w:pStyle w:val="Header"/>
          <w:framePr w:wrap="none" w:vAnchor="text" w:hAnchor="margin" w:xAlign="right" w:y="1"/>
          <w:rPr>
            <w:rStyle w:val="PageNumber"/>
          </w:rPr>
        </w:pPr>
        <w:r w:rsidRPr="002F6B12">
          <w:rPr>
            <w:rStyle w:val="PageNumber"/>
            <w:rFonts w:ascii="Times New Roman" w:hAnsi="Times New Roman" w:cs="Times New Roman"/>
          </w:rPr>
          <w:fldChar w:fldCharType="begin"/>
        </w:r>
        <w:r w:rsidRPr="002F6B12">
          <w:rPr>
            <w:rStyle w:val="PageNumber"/>
            <w:rFonts w:ascii="Times New Roman" w:hAnsi="Times New Roman" w:cs="Times New Roman"/>
          </w:rPr>
          <w:instrText xml:space="preserve"> PAGE </w:instrText>
        </w:r>
        <w:r w:rsidRPr="002F6B12">
          <w:rPr>
            <w:rStyle w:val="PageNumber"/>
            <w:rFonts w:ascii="Times New Roman" w:hAnsi="Times New Roman" w:cs="Times New Roman"/>
          </w:rPr>
          <w:fldChar w:fldCharType="separate"/>
        </w:r>
        <w:r w:rsidRPr="002F6B12">
          <w:rPr>
            <w:rStyle w:val="PageNumber"/>
            <w:rFonts w:ascii="Times New Roman" w:hAnsi="Times New Roman" w:cs="Times New Roman"/>
            <w:noProof/>
          </w:rPr>
          <w:t>23</w:t>
        </w:r>
        <w:r w:rsidRPr="002F6B12">
          <w:rPr>
            <w:rStyle w:val="PageNumber"/>
            <w:rFonts w:ascii="Times New Roman" w:hAnsi="Times New Roman" w:cs="Times New Roman"/>
          </w:rPr>
          <w:fldChar w:fldCharType="end"/>
        </w:r>
      </w:p>
    </w:sdtContent>
  </w:sdt>
  <w:tbl>
    <w:tblPr>
      <w:tblW w:w="9360" w:type="dxa"/>
      <w:tblLayout w:type="fixed"/>
      <w:tblLook w:val="06A0" w:firstRow="1" w:lastRow="0" w:firstColumn="1" w:lastColumn="0" w:noHBand="1" w:noVBand="1"/>
    </w:tblPr>
    <w:tblGrid>
      <w:gridCol w:w="3120"/>
      <w:gridCol w:w="3120"/>
      <w:gridCol w:w="3120"/>
    </w:tblGrid>
    <w:tr w:rsidR="00500C0B" w14:paraId="19D3A03C" w14:textId="77777777">
      <w:trPr>
        <w:trHeight w:val="300"/>
      </w:trPr>
      <w:tc>
        <w:tcPr>
          <w:tcW w:w="3120" w:type="dxa"/>
        </w:tcPr>
        <w:p w14:paraId="267D88E6" w14:textId="77777777" w:rsidR="00500C0B" w:rsidRDefault="00500C0B" w:rsidP="002F6B12">
          <w:pPr>
            <w:pStyle w:val="Header"/>
            <w:ind w:left="-115" w:right="360"/>
          </w:pPr>
        </w:p>
      </w:tc>
      <w:tc>
        <w:tcPr>
          <w:tcW w:w="3120" w:type="dxa"/>
        </w:tcPr>
        <w:p w14:paraId="38F9B280" w14:textId="77777777" w:rsidR="00500C0B" w:rsidRDefault="00500C0B">
          <w:pPr>
            <w:pStyle w:val="Header"/>
            <w:jc w:val="center"/>
          </w:pPr>
        </w:p>
      </w:tc>
      <w:tc>
        <w:tcPr>
          <w:tcW w:w="3120" w:type="dxa"/>
        </w:tcPr>
        <w:p w14:paraId="5E41B542" w14:textId="77777777" w:rsidR="00500C0B" w:rsidRDefault="00500C0B">
          <w:pPr>
            <w:pStyle w:val="Header"/>
            <w:ind w:right="-115"/>
            <w:jc w:val="right"/>
          </w:pPr>
        </w:p>
      </w:tc>
    </w:tr>
  </w:tbl>
  <w:p w14:paraId="66B6EFEB" w14:textId="77777777" w:rsidR="00500C0B" w:rsidRDefault="00500C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Layout w:type="fixed"/>
      <w:tblLook w:val="06A0" w:firstRow="1" w:lastRow="0" w:firstColumn="1" w:lastColumn="0" w:noHBand="1" w:noVBand="1"/>
    </w:tblPr>
    <w:tblGrid>
      <w:gridCol w:w="3120"/>
      <w:gridCol w:w="3120"/>
      <w:gridCol w:w="3120"/>
    </w:tblGrid>
    <w:tr w:rsidR="00500C0B" w14:paraId="653FFF8B" w14:textId="77777777">
      <w:trPr>
        <w:trHeight w:val="300"/>
      </w:trPr>
      <w:tc>
        <w:tcPr>
          <w:tcW w:w="3120" w:type="dxa"/>
        </w:tcPr>
        <w:p w14:paraId="2398B81E" w14:textId="77777777" w:rsidR="00500C0B" w:rsidRDefault="00500C0B">
          <w:pPr>
            <w:pStyle w:val="Header"/>
            <w:ind w:left="-115"/>
          </w:pPr>
        </w:p>
      </w:tc>
      <w:tc>
        <w:tcPr>
          <w:tcW w:w="3120" w:type="dxa"/>
        </w:tcPr>
        <w:p w14:paraId="34DC24E6" w14:textId="77777777" w:rsidR="00500C0B" w:rsidRDefault="00500C0B">
          <w:pPr>
            <w:pStyle w:val="Header"/>
            <w:jc w:val="center"/>
          </w:pPr>
        </w:p>
      </w:tc>
      <w:tc>
        <w:tcPr>
          <w:tcW w:w="3120" w:type="dxa"/>
        </w:tcPr>
        <w:p w14:paraId="7C8068C3" w14:textId="77777777" w:rsidR="00500C0B" w:rsidRDefault="00500C0B">
          <w:pPr>
            <w:pStyle w:val="Header"/>
            <w:ind w:right="-115"/>
            <w:jc w:val="right"/>
          </w:pPr>
        </w:p>
      </w:tc>
    </w:tr>
  </w:tbl>
  <w:p w14:paraId="633B5754" w14:textId="77777777" w:rsidR="00500C0B" w:rsidRDefault="00500C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BB46E3"/>
    <w:multiLevelType w:val="multilevel"/>
    <w:tmpl w:val="5A2CE78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3A90BA3"/>
    <w:multiLevelType w:val="multilevel"/>
    <w:tmpl w:val="5802A36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081678890">
    <w:abstractNumId w:val="1"/>
  </w:num>
  <w:num w:numId="2" w16cid:durableId="58017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C0B"/>
    <w:rsid w:val="00014D20"/>
    <w:rsid w:val="000153DD"/>
    <w:rsid w:val="00027966"/>
    <w:rsid w:val="0004187C"/>
    <w:rsid w:val="000447EE"/>
    <w:rsid w:val="00054263"/>
    <w:rsid w:val="00064CD1"/>
    <w:rsid w:val="00081436"/>
    <w:rsid w:val="000815BB"/>
    <w:rsid w:val="00090CC1"/>
    <w:rsid w:val="00096E47"/>
    <w:rsid w:val="000A3B5C"/>
    <w:rsid w:val="000B06F5"/>
    <w:rsid w:val="000B23BF"/>
    <w:rsid w:val="000B4654"/>
    <w:rsid w:val="000B7BFE"/>
    <w:rsid w:val="000D534C"/>
    <w:rsid w:val="001025DC"/>
    <w:rsid w:val="00116947"/>
    <w:rsid w:val="00125908"/>
    <w:rsid w:val="001456D4"/>
    <w:rsid w:val="00162A71"/>
    <w:rsid w:val="00180E1B"/>
    <w:rsid w:val="00186C2D"/>
    <w:rsid w:val="001A74B4"/>
    <w:rsid w:val="001C4719"/>
    <w:rsid w:val="001D2631"/>
    <w:rsid w:val="001F1FFF"/>
    <w:rsid w:val="002024ED"/>
    <w:rsid w:val="002055A1"/>
    <w:rsid w:val="00215323"/>
    <w:rsid w:val="0022115B"/>
    <w:rsid w:val="002244CC"/>
    <w:rsid w:val="00252E95"/>
    <w:rsid w:val="002B2D85"/>
    <w:rsid w:val="002B434B"/>
    <w:rsid w:val="002D729B"/>
    <w:rsid w:val="002E295D"/>
    <w:rsid w:val="002E680D"/>
    <w:rsid w:val="002F0044"/>
    <w:rsid w:val="002F4412"/>
    <w:rsid w:val="002F6B12"/>
    <w:rsid w:val="00303D51"/>
    <w:rsid w:val="00315B1B"/>
    <w:rsid w:val="00323A12"/>
    <w:rsid w:val="00360F32"/>
    <w:rsid w:val="00361390"/>
    <w:rsid w:val="003714AF"/>
    <w:rsid w:val="003769A5"/>
    <w:rsid w:val="00386021"/>
    <w:rsid w:val="003936D1"/>
    <w:rsid w:val="00397750"/>
    <w:rsid w:val="003B0A34"/>
    <w:rsid w:val="003B137D"/>
    <w:rsid w:val="003B1AF8"/>
    <w:rsid w:val="003B25CC"/>
    <w:rsid w:val="003C5338"/>
    <w:rsid w:val="003E163D"/>
    <w:rsid w:val="003F1CB9"/>
    <w:rsid w:val="0042387D"/>
    <w:rsid w:val="00430CB9"/>
    <w:rsid w:val="00437077"/>
    <w:rsid w:val="00482F23"/>
    <w:rsid w:val="0048498C"/>
    <w:rsid w:val="00490C00"/>
    <w:rsid w:val="004A475E"/>
    <w:rsid w:val="004B4BC5"/>
    <w:rsid w:val="004F5B40"/>
    <w:rsid w:val="00500C0B"/>
    <w:rsid w:val="00545C51"/>
    <w:rsid w:val="00555981"/>
    <w:rsid w:val="005675A6"/>
    <w:rsid w:val="0057501E"/>
    <w:rsid w:val="005A32BD"/>
    <w:rsid w:val="005A5004"/>
    <w:rsid w:val="005A59F1"/>
    <w:rsid w:val="005C7CF6"/>
    <w:rsid w:val="005D0FED"/>
    <w:rsid w:val="005E68C7"/>
    <w:rsid w:val="005F3FAB"/>
    <w:rsid w:val="00620CF9"/>
    <w:rsid w:val="00634000"/>
    <w:rsid w:val="006455C2"/>
    <w:rsid w:val="006455F7"/>
    <w:rsid w:val="00670BD4"/>
    <w:rsid w:val="006715ED"/>
    <w:rsid w:val="00672ACA"/>
    <w:rsid w:val="006747C5"/>
    <w:rsid w:val="006772CF"/>
    <w:rsid w:val="006822A3"/>
    <w:rsid w:val="0068768A"/>
    <w:rsid w:val="00693CCE"/>
    <w:rsid w:val="006B0574"/>
    <w:rsid w:val="006B4AF2"/>
    <w:rsid w:val="006C2DA6"/>
    <w:rsid w:val="006C7ED1"/>
    <w:rsid w:val="006E5846"/>
    <w:rsid w:val="006F3CFB"/>
    <w:rsid w:val="00716940"/>
    <w:rsid w:val="0074185E"/>
    <w:rsid w:val="007454E7"/>
    <w:rsid w:val="007465C1"/>
    <w:rsid w:val="007471A7"/>
    <w:rsid w:val="007743D5"/>
    <w:rsid w:val="00775332"/>
    <w:rsid w:val="00781ACD"/>
    <w:rsid w:val="007828A6"/>
    <w:rsid w:val="007A4B05"/>
    <w:rsid w:val="007C6D7C"/>
    <w:rsid w:val="007D1191"/>
    <w:rsid w:val="007E32A9"/>
    <w:rsid w:val="00801EBB"/>
    <w:rsid w:val="00845D88"/>
    <w:rsid w:val="00873479"/>
    <w:rsid w:val="00873EA6"/>
    <w:rsid w:val="00886F7B"/>
    <w:rsid w:val="008B4A7A"/>
    <w:rsid w:val="008D2DAA"/>
    <w:rsid w:val="008E25E9"/>
    <w:rsid w:val="008E6AB9"/>
    <w:rsid w:val="00906553"/>
    <w:rsid w:val="009327B4"/>
    <w:rsid w:val="00933EDD"/>
    <w:rsid w:val="00975D4D"/>
    <w:rsid w:val="009A7E68"/>
    <w:rsid w:val="009E73F9"/>
    <w:rsid w:val="00A1383E"/>
    <w:rsid w:val="00A34122"/>
    <w:rsid w:val="00A656A1"/>
    <w:rsid w:val="00A83629"/>
    <w:rsid w:val="00A97E34"/>
    <w:rsid w:val="00AA45A3"/>
    <w:rsid w:val="00AB1977"/>
    <w:rsid w:val="00AB3A0C"/>
    <w:rsid w:val="00AD7457"/>
    <w:rsid w:val="00AE3FD3"/>
    <w:rsid w:val="00AF269D"/>
    <w:rsid w:val="00B02BC7"/>
    <w:rsid w:val="00B3052E"/>
    <w:rsid w:val="00B45BE1"/>
    <w:rsid w:val="00B53026"/>
    <w:rsid w:val="00B80B38"/>
    <w:rsid w:val="00BD0A17"/>
    <w:rsid w:val="00BF3558"/>
    <w:rsid w:val="00C2024D"/>
    <w:rsid w:val="00C36924"/>
    <w:rsid w:val="00C41F09"/>
    <w:rsid w:val="00C46C81"/>
    <w:rsid w:val="00C75A49"/>
    <w:rsid w:val="00C76275"/>
    <w:rsid w:val="00CA7827"/>
    <w:rsid w:val="00CB61E8"/>
    <w:rsid w:val="00CC4E81"/>
    <w:rsid w:val="00CD22F6"/>
    <w:rsid w:val="00D32E15"/>
    <w:rsid w:val="00D64E19"/>
    <w:rsid w:val="00D65604"/>
    <w:rsid w:val="00D71102"/>
    <w:rsid w:val="00D74EDE"/>
    <w:rsid w:val="00DA5D73"/>
    <w:rsid w:val="00E21B68"/>
    <w:rsid w:val="00E46E21"/>
    <w:rsid w:val="00EB7FB3"/>
    <w:rsid w:val="00ED02EB"/>
    <w:rsid w:val="00ED40B2"/>
    <w:rsid w:val="00EE0625"/>
    <w:rsid w:val="00F11E23"/>
    <w:rsid w:val="00F20019"/>
    <w:rsid w:val="00F23DDB"/>
    <w:rsid w:val="00F54CD4"/>
    <w:rsid w:val="00F607FD"/>
    <w:rsid w:val="00F6153A"/>
    <w:rsid w:val="00F92DB3"/>
    <w:rsid w:val="00FA5493"/>
    <w:rsid w:val="00FA59A0"/>
    <w:rsid w:val="00FD5F36"/>
    <w:rsid w:val="00FE5100"/>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3300D"/>
  <w15:docId w15:val="{5B2C1F13-96EC-964C-80CD-5D3AF72AF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aptionChar">
    <w:name w:val="Caption Char"/>
    <w:qFormat/>
  </w:style>
  <w:style w:type="character" w:customStyle="1" w:styleId="EndnoteTextChar">
    <w:name w:val="Endnote Text Char"/>
    <w:link w:val="EndnoteText"/>
    <w:uiPriority w:val="99"/>
    <w:qFormat/>
    <w:rPr>
      <w:sz w:val="20"/>
    </w:rPr>
  </w:style>
  <w:style w:type="character" w:customStyle="1" w:styleId="EndnoteCharacters">
    <w:name w:val="Endnote Characters"/>
    <w:uiPriority w:val="99"/>
    <w:semiHidden/>
    <w:unhideWhenUsed/>
    <w:qFormat/>
    <w:rPr>
      <w:vertAlign w:val="superscript"/>
    </w:rPr>
  </w:style>
  <w:style w:type="character" w:styleId="EndnoteReference">
    <w:name w:val="endnote reference"/>
    <w:rPr>
      <w:vertAlign w:val="superscript"/>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Pr>
      <w:rFonts w:eastAsiaTheme="majorEastAsia" w:cstheme="majorBidi"/>
      <w:color w:val="272727" w:themeColor="text1" w:themeTint="D8"/>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character" w:customStyle="1" w:styleId="QuoteChar">
    <w:name w:val="Quote Char"/>
    <w:basedOn w:val="DefaultParagraphFont"/>
    <w:link w:val="Quote"/>
    <w:uiPriority w:val="29"/>
    <w:qFormat/>
    <w:rPr>
      <w:i/>
      <w:iCs/>
      <w:color w:val="404040" w:themeColor="text1" w:themeTint="BF"/>
    </w:rPr>
  </w:style>
  <w:style w:type="character" w:styleId="IntenseEmphasis">
    <w:name w:val="Intense Emphasis"/>
    <w:basedOn w:val="DefaultParagraphFont"/>
    <w:uiPriority w:val="21"/>
    <w:qFormat/>
    <w:rPr>
      <w:i/>
      <w:iCs/>
      <w:color w:val="0F4761" w:themeColor="accent1" w:themeShade="BF"/>
    </w:rPr>
  </w:style>
  <w:style w:type="character" w:customStyle="1" w:styleId="IntenseQuoteChar">
    <w:name w:val="Intense Quote Char"/>
    <w:basedOn w:val="DefaultParagraphFont"/>
    <w:link w:val="IntenseQuote"/>
    <w:uiPriority w:val="30"/>
    <w:qFormat/>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CommentReference">
    <w:name w:val="annotation reference"/>
    <w:basedOn w:val="DefaultParagraphFont"/>
    <w:unhideWhenUsed/>
    <w:qFormat/>
    <w:rPr>
      <w:sz w:val="16"/>
      <w:szCs w:val="16"/>
    </w:rPr>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BodyTextChar">
    <w:name w:val="Body Text Char"/>
    <w:basedOn w:val="DefaultParagraphFont"/>
    <w:link w:val="BodyText"/>
    <w:qFormat/>
    <w:rPr>
      <w:sz w:val="24"/>
      <w:szCs w:val="24"/>
      <w14:ligatures w14:val="none"/>
    </w:rPr>
  </w:style>
  <w:style w:type="character" w:customStyle="1" w:styleId="FootnoteTextChar">
    <w:name w:val="Footnote Text Char"/>
    <w:basedOn w:val="DefaultParagraphFont"/>
    <w:link w:val="FootnoteText"/>
    <w:uiPriority w:val="99"/>
    <w:qFormat/>
    <w:rPr>
      <w:sz w:val="24"/>
      <w:szCs w:val="24"/>
      <w14:ligatures w14:val="none"/>
    </w:rPr>
  </w:style>
  <w:style w:type="character" w:customStyle="1" w:styleId="FootnoteCharacters">
    <w:name w:val="Footnote Characters"/>
    <w:uiPriority w:val="99"/>
    <w:qFormat/>
    <w:rPr>
      <w:vertAlign w:val="superscript"/>
    </w:rPr>
  </w:style>
  <w:style w:type="character" w:styleId="FootnoteReference">
    <w:name w:val="footnote reference"/>
    <w:rPr>
      <w:vertAlign w:val="superscript"/>
    </w:rPr>
  </w:style>
  <w:style w:type="character" w:customStyle="1" w:styleId="mop">
    <w:name w:val="mop"/>
    <w:basedOn w:val="DefaultParagraphFont"/>
    <w:qFormat/>
  </w:style>
  <w:style w:type="character" w:customStyle="1" w:styleId="mord">
    <w:name w:val="mord"/>
    <w:basedOn w:val="DefaultParagraphFont"/>
    <w:qFormat/>
  </w:style>
  <w:style w:type="character" w:customStyle="1" w:styleId="vlist-s">
    <w:name w:val="vlist-s"/>
    <w:basedOn w:val="DefaultParagraphFont"/>
    <w:qFormat/>
  </w:style>
  <w:style w:type="character" w:customStyle="1" w:styleId="mbin">
    <w:name w:val="mbin"/>
    <w:basedOn w:val="DefaultParagraphFont"/>
    <w:qFormat/>
  </w:style>
  <w:style w:type="character" w:styleId="Hyperlink">
    <w:name w:val="Hyperlink"/>
    <w:basedOn w:val="DefaultParagraphFont"/>
    <w:uiPriority w:val="99"/>
    <w:unhideWhenUsed/>
    <w:rPr>
      <w:color w:val="0000FF"/>
      <w:u w:val="single"/>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apple-converted-space">
    <w:name w:val="apple-converted-space"/>
    <w:basedOn w:val="DefaultParagraphFont"/>
    <w:qFormat/>
    <w:rsid w:val="002A7D13"/>
  </w:style>
  <w:style w:type="character" w:customStyle="1" w:styleId="author">
    <w:name w:val="author"/>
    <w:basedOn w:val="DefaultParagraphFont"/>
    <w:qFormat/>
    <w:rsid w:val="00515E5E"/>
  </w:style>
  <w:style w:type="character" w:customStyle="1" w:styleId="pubyear">
    <w:name w:val="pubyear"/>
    <w:basedOn w:val="DefaultParagraphFont"/>
    <w:qFormat/>
    <w:rsid w:val="00515E5E"/>
  </w:style>
  <w:style w:type="character" w:customStyle="1" w:styleId="articletitle">
    <w:name w:val="articletitle"/>
    <w:basedOn w:val="DefaultParagraphFont"/>
    <w:qFormat/>
    <w:rsid w:val="00515E5E"/>
  </w:style>
  <w:style w:type="character" w:customStyle="1" w:styleId="vol">
    <w:name w:val="vol"/>
    <w:basedOn w:val="DefaultParagraphFont"/>
    <w:qFormat/>
    <w:rsid w:val="00515E5E"/>
  </w:style>
  <w:style w:type="character" w:customStyle="1" w:styleId="citedissue">
    <w:name w:val="citedissue"/>
    <w:basedOn w:val="DefaultParagraphFont"/>
    <w:qFormat/>
    <w:rsid w:val="00515E5E"/>
  </w:style>
  <w:style w:type="character" w:customStyle="1" w:styleId="pagefirst">
    <w:name w:val="pagefirst"/>
    <w:basedOn w:val="DefaultParagraphFont"/>
    <w:qFormat/>
    <w:rsid w:val="00515E5E"/>
  </w:style>
  <w:style w:type="character" w:customStyle="1" w:styleId="pagelast">
    <w:name w:val="pagelast"/>
    <w:basedOn w:val="DefaultParagraphFont"/>
    <w:qFormat/>
    <w:rsid w:val="00515E5E"/>
  </w:style>
  <w:style w:type="character" w:styleId="LineNumber">
    <w:name w:val="line number"/>
  </w:style>
  <w:style w:type="character" w:styleId="UnresolvedMention">
    <w:name w:val="Unresolved Mention"/>
    <w:basedOn w:val="DefaultParagraphFont"/>
    <w:uiPriority w:val="99"/>
    <w:semiHidden/>
    <w:unhideWhenUsed/>
    <w:qFormat/>
    <w:rsid w:val="00803FDD"/>
    <w:rPr>
      <w:color w:val="605E5C"/>
      <w:shd w:val="clear" w:color="auto" w:fill="E1DFDD"/>
    </w:rPr>
  </w:style>
  <w:style w:type="character" w:styleId="Emphasis">
    <w:name w:val="Emphasis"/>
    <w:basedOn w:val="DefaultParagraphFont"/>
    <w:uiPriority w:val="20"/>
    <w:qFormat/>
    <w:rsid w:val="007C0E92"/>
    <w:rPr>
      <w:i/>
      <w:iCs/>
    </w:rPr>
  </w:style>
  <w:style w:type="character" w:styleId="PageNumber">
    <w:name w:val="page number"/>
    <w:basedOn w:val="DefaultParagraphFont"/>
    <w:uiPriority w:val="99"/>
    <w:semiHidden/>
    <w:unhideWhenUsed/>
    <w:rsid w:val="005D770F"/>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link w:val="BodyTextChar"/>
    <w:qFormat/>
    <w:pPr>
      <w:spacing w:before="180" w:after="180" w:line="240" w:lineRule="auto"/>
    </w:pPr>
    <w:rPr>
      <w:sz w:val="24"/>
      <w:szCs w:val="24"/>
      <w14:ligatures w14:val="none"/>
    </w:r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NoSpacing">
    <w:name w:val="No Spacing"/>
    <w:uiPriority w:val="1"/>
    <w:qFormat/>
  </w:style>
  <w:style w:type="paragraph" w:customStyle="1" w:styleId="caption1">
    <w:name w:val="caption1"/>
    <w:basedOn w:val="Normal"/>
    <w:next w:val="Normal"/>
    <w:uiPriority w:val="35"/>
    <w:semiHidden/>
    <w:unhideWhenUsed/>
    <w:qFormat/>
    <w:pPr>
      <w:spacing w:line="276" w:lineRule="auto"/>
    </w:pPr>
    <w:rPr>
      <w:b/>
      <w:bCs/>
      <w:color w:val="156082" w:themeColor="accent1"/>
      <w:sz w:val="18"/>
      <w:szCs w:val="18"/>
    </w:rPr>
  </w:style>
  <w:style w:type="paragraph" w:styleId="EndnoteText">
    <w:name w:val="endnote text"/>
    <w:basedOn w:val="Normal"/>
    <w:link w:val="EndnoteTextChar"/>
    <w:uiPriority w:val="99"/>
    <w:semiHidden/>
    <w:unhideWhenUsed/>
    <w:pPr>
      <w:spacing w:after="0" w:line="240" w:lineRule="auto"/>
    </w:pPr>
    <w:rPr>
      <w:sz w:val="20"/>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IndexHeading">
    <w:name w:val="index heading"/>
    <w:basedOn w:val="Heading"/>
  </w:style>
  <w:style w:type="paragraph" w:styleId="TOCHeading">
    <w:name w:val="TOC Heading"/>
    <w:uiPriority w:val="39"/>
    <w:unhideWhenUsed/>
    <w:qFormat/>
    <w:pPr>
      <w:spacing w:after="160" w:line="259" w:lineRule="auto"/>
    </w:pPr>
  </w:style>
  <w:style w:type="paragraph" w:styleId="TableofFigures">
    <w:name w:val="table of figures"/>
    <w:basedOn w:val="Normal"/>
    <w:next w:val="Normal"/>
    <w:uiPriority w:val="99"/>
    <w:unhideWhenUsed/>
    <w:pPr>
      <w:spacing w:after="0"/>
    </w:p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paragraph" w:styleId="ListParagraph">
    <w:name w:val="List Paragraph"/>
    <w:basedOn w:val="Normal"/>
    <w:uiPriority w:val="34"/>
    <w:qFormat/>
    <w:pPr>
      <w:ind w:left="720"/>
      <w:contextualSpacing/>
    </w:p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paragraph" w:styleId="Bibliography">
    <w:name w:val="Bibliography"/>
    <w:basedOn w:val="Normal"/>
    <w:next w:val="Normal"/>
    <w:uiPriority w:val="37"/>
    <w:unhideWhenUsed/>
    <w:qFormat/>
    <w:pPr>
      <w:spacing w:after="0" w:line="240" w:lineRule="auto"/>
      <w:ind w:left="720" w:hanging="720"/>
    </w:pPr>
  </w:style>
  <w:style w:type="paragraph" w:styleId="Revision">
    <w:name w:val="Revision"/>
    <w:uiPriority w:val="99"/>
    <w:semiHidden/>
    <w:qFormat/>
  </w:style>
  <w:style w:type="paragraph" w:styleId="CommentText">
    <w:name w:val="annotation text"/>
    <w:basedOn w:val="Normal"/>
    <w:link w:val="CommentTextChar"/>
    <w:uiPriority w:val="99"/>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customStyle="1" w:styleId="FirstParagraph">
    <w:name w:val="First Paragraph"/>
    <w:basedOn w:val="BodyText"/>
    <w:next w:val="BodyText"/>
    <w:qFormat/>
  </w:style>
  <w:style w:type="paragraph" w:styleId="FootnoteText">
    <w:name w:val="footnote text"/>
    <w:basedOn w:val="Normal"/>
    <w:link w:val="FootnoteTextChar"/>
    <w:uiPriority w:val="99"/>
    <w:unhideWhenUsed/>
    <w:qFormat/>
    <w:pPr>
      <w:spacing w:after="200" w:line="240" w:lineRule="auto"/>
    </w:pPr>
    <w:rPr>
      <w:sz w:val="24"/>
      <w:szCs w:val="24"/>
      <w14:ligatures w14:val="none"/>
    </w:rPr>
  </w:style>
  <w:style w:type="paragraph" w:customStyle="1" w:styleId="code-line">
    <w:name w:val="code-line"/>
    <w:basedOn w:val="Normal"/>
    <w:qFormat/>
    <w:pPr>
      <w:spacing w:beforeAutospacing="1" w:afterAutospacing="1" w:line="240" w:lineRule="auto"/>
    </w:pPr>
    <w:rPr>
      <w:rFonts w:ascii="Times New Roman" w:eastAsia="Times New Roman" w:hAnsi="Times New Roman" w:cs="Times New Roman"/>
      <w:sz w:val="24"/>
      <w:szCs w:val="24"/>
      <w14:ligatures w14:val="none"/>
    </w:rPr>
  </w:style>
  <w:style w:type="paragraph" w:customStyle="1" w:styleId="HeaderandFooter">
    <w:name w:val="Header and Footer"/>
    <w:basedOn w:val="Normal"/>
    <w:qFormat/>
  </w:style>
  <w:style w:type="paragraph" w:styleId="Header">
    <w:name w:val="header"/>
    <w:basedOn w:val="Normal"/>
    <w:link w:val="HeaderChar"/>
    <w:uiPriority w:val="99"/>
    <w:unhideWhenUsed/>
    <w:pPr>
      <w:tabs>
        <w:tab w:val="center" w:pos="4680"/>
        <w:tab w:val="right" w:pos="9360"/>
      </w:tabs>
      <w:spacing w:after="0" w:line="240" w:lineRule="auto"/>
    </w:p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NormalWeb">
    <w:name w:val="Normal (Web)"/>
    <w:basedOn w:val="Normal"/>
    <w:uiPriority w:val="99"/>
    <w:semiHidden/>
    <w:unhideWhenUsed/>
    <w:qFormat/>
    <w:rsid w:val="009823D9"/>
    <w:pPr>
      <w:spacing w:beforeAutospacing="1" w:afterAutospacing="1" w:line="240" w:lineRule="auto"/>
    </w:pPr>
    <w:rPr>
      <w:rFonts w:ascii="Times New Roman" w:eastAsia="Times New Roman" w:hAnsi="Times New Roman" w:cs="Times New Roman"/>
      <w:sz w:val="24"/>
      <w:szCs w:val="24"/>
      <w14:ligatures w14:val="none"/>
    </w:rPr>
  </w:style>
  <w:style w:type="paragraph" w:customStyle="1" w:styleId="Compact">
    <w:name w:val="Compact"/>
    <w:basedOn w:val="BodyText"/>
    <w:qFormat/>
    <w:rsid w:val="00D57DF7"/>
    <w:pPr>
      <w:suppressAutoHyphens w:val="0"/>
      <w:spacing w:before="36" w:after="36"/>
    </w:pPr>
  </w:style>
  <w:style w:type="paragraph" w:customStyle="1" w:styleId="Standard">
    <w:name w:val="Standard"/>
    <w:qFormat/>
    <w:rsid w:val="009556DF"/>
    <w:pPr>
      <w:spacing w:line="276" w:lineRule="auto"/>
      <w:textAlignment w:val="baseline"/>
    </w:pPr>
    <w:rPr>
      <w:rFonts w:ascii="Arial" w:eastAsia="Arial" w:hAnsi="Arial" w:cs="Arial"/>
      <w14:ligatures w14:val="none"/>
    </w:rPr>
  </w:style>
  <w:style w:type="paragraph" w:customStyle="1" w:styleId="FrameContents">
    <w:name w:val="Frame Contents"/>
    <w:basedOn w:val="Normal"/>
    <w:qFormat/>
  </w:style>
  <w:style w:type="paragraph" w:customStyle="1" w:styleId="FrameContentsuser">
    <w:name w:val="Frame Contents (user)"/>
    <w:basedOn w:val="Normal"/>
    <w:qFormat/>
  </w:style>
  <w:style w:type="paragraph" w:customStyle="1" w:styleId="Comment">
    <w:name w:val="Comment"/>
    <w:basedOn w:val="Normal"/>
    <w:qFormat/>
    <w:pPr>
      <w:spacing w:before="56" w:after="0"/>
      <w:ind w:left="56" w:right="56"/>
    </w:pPr>
    <w:rPr>
      <w:sz w:val="20"/>
      <w:szCs w:val="20"/>
    </w:rPr>
  </w:style>
  <w:style w:type="table" w:styleId="TableGridLight">
    <w:name w:val="Grid Table Light"/>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b/>
        <w:sz w:val="22"/>
      </w:rPr>
    </w:tblStylePr>
    <w:tblStylePr w:type="lastRow">
      <w:rPr>
        <w:b/>
        <w:sz w:val="22"/>
      </w:rPr>
    </w:tblStylePr>
    <w:tblStylePr w:type="firstCol">
      <w:rPr>
        <w:b/>
        <w:sz w:val="22"/>
      </w:rPr>
    </w:tblStylePr>
    <w:tblStylePr w:type="lastCol">
      <w:rPr>
        <w:b/>
        <w:sz w:val="22"/>
      </w:rPr>
    </w:tblStylePr>
    <w:tblStylePr w:type="band1Vert">
      <w:tblPr/>
      <w:tcPr>
        <w:shd w:val="clear" w:color="F2F2F2" w:fill="F2F2F2" w:themeFill="text1" w:themeFillTint="0D"/>
      </w:tcPr>
    </w:tblStylePr>
    <w:tblStylePr w:type="band1Horz">
      <w:tblPr/>
      <w:tcPr>
        <w:shd w:val="clear" w:color="F2F2F2" w:fill="F2F2F2" w:themeFill="text1" w:themeFillTint="0D"/>
      </w:tcPr>
    </w:tblStyle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b/>
        <w:sz w:val="22"/>
      </w:rPr>
      <w:tblPr/>
      <w:tcPr>
        <w:tcBorders>
          <w:top w:val="single" w:sz="4" w:space="0" w:color="000000" w:themeColor="text1"/>
          <w:bottom w:val="single" w:sz="4" w:space="0" w:color="000000" w:themeColor="text1"/>
        </w:tcBorders>
      </w:tcPr>
    </w:tblStylePr>
    <w:tblStylePr w:type="lastRow">
      <w:rPr>
        <w:b/>
        <w:sz w:val="22"/>
      </w:rPr>
    </w:tblStylePr>
    <w:tblStylePr w:type="firstCol">
      <w:rPr>
        <w:b/>
        <w:sz w:val="22"/>
      </w:rPr>
    </w:tblStylePr>
    <w:tblStylePr w:type="lastCol">
      <w:rPr>
        <w:b/>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tblPr>
      <w:tblStyleRowBandSize w:val="1"/>
      <w:tblStyleColBandSize w:val="1"/>
    </w:tblPr>
    <w:tblStylePr w:type="firstRow">
      <w:rPr>
        <w:b/>
        <w:caps/>
      </w:rPr>
      <w:tblPr/>
      <w:tcPr>
        <w:tcBorders>
          <w:top w:val="none" w:sz="4" w:space="0" w:color="000000"/>
          <w:left w:val="none" w:sz="4" w:space="0" w:color="000000"/>
          <w:bottom w:val="single" w:sz="4" w:space="0" w:color="404040"/>
          <w:right w:val="none" w:sz="4" w:space="0" w:color="000000"/>
        </w:tcBorders>
      </w:tcPr>
    </w:tblStylePr>
    <w:tblStylePr w:type="lastRow">
      <w:rPr>
        <w:b/>
        <w:caps/>
      </w:rPr>
    </w:tblStylePr>
    <w:tblStylePr w:type="firstCol">
      <w:rPr>
        <w:b/>
        <w:caps/>
      </w:rPr>
      <w:tblPr/>
      <w:tcPr>
        <w:tcBorders>
          <w:top w:val="none" w:sz="4" w:space="0" w:color="000000"/>
          <w:left w:val="none" w:sz="4" w:space="0" w:color="000000"/>
          <w:bottom w:val="none" w:sz="4" w:space="0" w:color="000000"/>
          <w:right w:val="single" w:sz="4" w:space="0" w:color="404040"/>
        </w:tcBorders>
      </w:tcPr>
    </w:tblStylePr>
    <w:tblStylePr w:type="lastCol">
      <w:rPr>
        <w:b/>
        <w:caps/>
      </w:r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styleId="PlainTable4">
    <w:name w:val="Plain Table 4"/>
    <w:basedOn w:val="TableNormal"/>
    <w:uiPriority w:val="99"/>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rPr>
      <w:tblPr/>
      <w:tcPr>
        <w:tcBorders>
          <w:left w:val="none" w:sz="4" w:space="0" w:color="000000"/>
          <w:bottom w:val="single" w:sz="4" w:space="0" w:color="404040"/>
          <w:right w:val="none" w:sz="4" w:space="0" w:color="000000"/>
        </w:tcBorders>
        <w:shd w:val="clear" w:color="FFFFFF" w:fill="auto"/>
      </w:tcPr>
    </w:tblStylePr>
    <w:tblStylePr w:type="lastRow">
      <w:rPr>
        <w:i/>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rPr>
      <w:tblPr/>
      <w:tcPr>
        <w:tcBorders>
          <w:right w:val="single" w:sz="4" w:space="0" w:color="404040"/>
        </w:tcBorders>
        <w:shd w:val="clear" w:color="FFFFFF" w:fill="auto"/>
      </w:tcPr>
    </w:tblStylePr>
    <w:tblStylePr w:type="lastCol">
      <w:rPr>
        <w:i/>
      </w:rPr>
      <w:tblPr/>
      <w:tcPr>
        <w:tcBorders>
          <w:left w:val="single" w:sz="4" w:space="0" w:color="404040"/>
        </w:tcBorders>
        <w:shd w:val="clear" w:color="FFFFFF" w:fill="auto"/>
      </w:tc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rPr>
      <w:tblPr/>
      <w:tcPr>
        <w:tcBorders>
          <w:bottom w:val="single" w:sz="12" w:space="0" w:color="000000" w:themeColor="tex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styleId="GridTable1Light-Accent1">
    <w:name w:val="Grid Table 1 Light Accent 1"/>
    <w:basedOn w:val="TableNormal"/>
    <w:uiPriority w:val="99"/>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b/>
      </w:rPr>
      <w:tblPr/>
      <w:tcPr>
        <w:tcBorders>
          <w:bottom w:val="single" w:sz="12" w:space="0" w:color="156082" w:themeColor="accen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tblStylePr>
  </w:style>
  <w:style w:type="table" w:styleId="GridTable1Light-Accent2">
    <w:name w:val="Grid Table 1 Light Accent 2"/>
    <w:basedOn w:val="TableNormal"/>
    <w:uiPriority w:val="99"/>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b/>
      </w:rPr>
      <w:tblPr/>
      <w:tcPr>
        <w:tcBorders>
          <w:bottom w:val="single" w:sz="12" w:space="0" w:color="E97132" w:themeColor="accent2"/>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tcBorders>
      </w:tcPr>
    </w:tblStylePr>
  </w:style>
  <w:style w:type="table" w:styleId="GridTable1Light-Accent3">
    <w:name w:val="Grid Table 1 Light Accent 3"/>
    <w:basedOn w:val="TableNormal"/>
    <w:uiPriority w:val="99"/>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b/>
      </w:rPr>
      <w:tblPr/>
      <w:tcPr>
        <w:tcBorders>
          <w:bottom w:val="single" w:sz="12" w:space="0" w:color="196B24" w:themeColor="accent3"/>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tcBorders>
      </w:tcPr>
    </w:tblStylePr>
  </w:style>
  <w:style w:type="table" w:styleId="GridTable1Light-Accent4">
    <w:name w:val="Grid Table 1 Light Accent 4"/>
    <w:basedOn w:val="TableNormal"/>
    <w:uiPriority w:val="99"/>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b/>
      </w:rPr>
      <w:tblPr/>
      <w:tcPr>
        <w:tcBorders>
          <w:bottom w:val="single" w:sz="12" w:space="0" w:color="0F9ED5" w:themeColor="accent4"/>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tcBorders>
      </w:tcPr>
    </w:tblStylePr>
  </w:style>
  <w:style w:type="table" w:styleId="GridTable1Light-Accent5">
    <w:name w:val="Grid Table 1 Light Accent 5"/>
    <w:basedOn w:val="TableNormal"/>
    <w:uiPriority w:val="99"/>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b/>
      </w:rPr>
      <w:tblPr/>
      <w:tcPr>
        <w:tcBorders>
          <w:bottom w:val="single" w:sz="12" w:space="0" w:color="A02B93" w:themeColor="accent5"/>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tcPr>
    </w:tblStylePr>
  </w:style>
  <w:style w:type="table" w:styleId="GridTable1Light-Accent6">
    <w:name w:val="Grid Table 1 Light Accent 6"/>
    <w:basedOn w:val="TableNormal"/>
    <w:uiPriority w:val="99"/>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b/>
      </w:rPr>
      <w:tblPr/>
      <w:tcPr>
        <w:tcBorders>
          <w:bottom w:val="single" w:sz="12" w:space="0" w:color="4EA72E" w:themeColor="accent6"/>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rPr>
      <w:tblPr/>
      <w:tcPr>
        <w:tcBorders>
          <w:top w:val="none" w:sz="4" w:space="0" w:color="000000"/>
          <w:left w:val="none" w:sz="4" w:space="0" w:color="000000"/>
          <w:bottom w:val="single" w:sz="12" w:space="0" w:color="000000" w:themeColor="text1"/>
          <w:right w:val="none" w:sz="4" w:space="0" w:color="000000"/>
        </w:tcBorders>
        <w:shd w:val="clear" w:color="FFFFFF" w:fill="auto"/>
      </w:tcPr>
    </w:tblStylePr>
    <w:tblStylePr w:type="lastRow">
      <w:rPr>
        <w:b/>
      </w:rPr>
      <w:tblPr/>
      <w:tcPr>
        <w:tcBorders>
          <w:top w:val="single" w:sz="4" w:space="0" w:color="000000" w:themeColor="tex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styleId="GridTable2-Accent1">
    <w:name w:val="Grid Table 2 Accent 1"/>
    <w:basedOn w:val="TableNormal"/>
    <w:uiPriority w:val="99"/>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rPr>
      <w:tblPr/>
      <w:tcPr>
        <w:tcBorders>
          <w:top w:val="none" w:sz="4" w:space="0" w:color="000000"/>
          <w:left w:val="none" w:sz="4" w:space="0" w:color="000000"/>
          <w:bottom w:val="single" w:sz="12" w:space="0" w:color="156082" w:themeColor="accent1"/>
          <w:right w:val="none" w:sz="4" w:space="0" w:color="000000"/>
        </w:tcBorders>
        <w:shd w:val="clear" w:color="FFFFFF" w:fill="auto"/>
      </w:tcPr>
    </w:tblStylePr>
    <w:tblStylePr w:type="lastRow">
      <w:rPr>
        <w:b/>
      </w:rPr>
      <w:tblPr/>
      <w:tcPr>
        <w:tcBorders>
          <w:top w:val="single" w:sz="4" w:space="0" w:color="156082" w:themeColor="accen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BFE4F4" w:fill="BFE4F4" w:themeFill="accent1" w:themeFillTint="34"/>
      </w:tcPr>
    </w:tblStylePr>
    <w:tblStylePr w:type="band1Horz">
      <w:rPr>
        <w:sz w:val="22"/>
      </w:rPr>
      <w:tblPr/>
      <w:tcPr>
        <w:shd w:val="clear" w:color="BFE4F4" w:fill="BFE4F4" w:themeFill="accent1" w:themeFillTint="34"/>
      </w:tcPr>
    </w:tblStylePr>
  </w:style>
  <w:style w:type="table" w:styleId="GridTable2-Accent2">
    <w:name w:val="Grid Table 2 Accent 2"/>
    <w:basedOn w:val="TableNormal"/>
    <w:uiPriority w:val="99"/>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rPr>
      <w:tblPr/>
      <w:tcPr>
        <w:tcBorders>
          <w:top w:val="none" w:sz="4" w:space="0" w:color="000000"/>
          <w:left w:val="none" w:sz="4" w:space="0" w:color="000000"/>
          <w:bottom w:val="single" w:sz="12" w:space="0" w:color="E97132" w:themeColor="accent2"/>
          <w:right w:val="none" w:sz="4" w:space="0" w:color="000000"/>
        </w:tcBorders>
        <w:shd w:val="clear" w:color="FFFFFF" w:fill="auto"/>
      </w:tcPr>
    </w:tblStylePr>
    <w:tblStylePr w:type="lastRow">
      <w:rPr>
        <w:b/>
      </w:rPr>
      <w:tblPr/>
      <w:tcPr>
        <w:tcBorders>
          <w:top w:val="single" w:sz="4" w:space="0" w:color="E97132" w:themeColor="accent2"/>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AE2D6" w:fill="FAE2D6" w:themeFill="accent2" w:themeFillTint="32"/>
      </w:tcPr>
    </w:tblStylePr>
    <w:tblStylePr w:type="band1Horz">
      <w:rPr>
        <w:sz w:val="22"/>
      </w:rPr>
      <w:tblPr/>
      <w:tcPr>
        <w:shd w:val="clear" w:color="FAE2D6" w:fill="FAE2D6" w:themeFill="accent2" w:themeFillTint="32"/>
      </w:tcPr>
    </w:tblStylePr>
  </w:style>
  <w:style w:type="table" w:styleId="GridTable2-Accent3">
    <w:name w:val="Grid Table 2 Accent 3"/>
    <w:basedOn w:val="TableNormal"/>
    <w:uiPriority w:val="99"/>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rPr>
      <w:tblPr/>
      <w:tcPr>
        <w:tcBorders>
          <w:top w:val="none" w:sz="4" w:space="0" w:color="000000"/>
          <w:left w:val="none" w:sz="4" w:space="0" w:color="000000"/>
          <w:bottom w:val="single" w:sz="12" w:space="0" w:color="196B24" w:themeColor="accent3"/>
          <w:right w:val="none" w:sz="4" w:space="0" w:color="000000"/>
        </w:tcBorders>
        <w:shd w:val="clear" w:color="FFFFFF" w:fill="auto"/>
      </w:tcPr>
    </w:tblStylePr>
    <w:tblStylePr w:type="lastRow">
      <w:rPr>
        <w:b/>
      </w:rPr>
      <w:tblPr/>
      <w:tcPr>
        <w:tcBorders>
          <w:top w:val="single" w:sz="4" w:space="0" w:color="196B24" w:themeColor="accent3"/>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C0F0C6" w:fill="C0F0C6" w:themeFill="accent3" w:themeFillTint="34"/>
      </w:tcPr>
    </w:tblStylePr>
    <w:tblStylePr w:type="band1Horz">
      <w:rPr>
        <w:sz w:val="22"/>
      </w:rPr>
      <w:tblPr/>
      <w:tcPr>
        <w:shd w:val="clear" w:color="C0F0C6" w:fill="C0F0C6" w:themeFill="accent3" w:themeFillTint="34"/>
      </w:tcPr>
    </w:tblStylePr>
  </w:style>
  <w:style w:type="table" w:styleId="GridTable2-Accent4">
    <w:name w:val="Grid Table 2 Accent 4"/>
    <w:basedOn w:val="TableNormal"/>
    <w:uiPriority w:val="99"/>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rPr>
      <w:tblPr/>
      <w:tcPr>
        <w:tcBorders>
          <w:top w:val="none" w:sz="4" w:space="0" w:color="000000"/>
          <w:left w:val="none" w:sz="4" w:space="0" w:color="000000"/>
          <w:bottom w:val="single" w:sz="12" w:space="0" w:color="0F9ED5" w:themeColor="accent4"/>
          <w:right w:val="none" w:sz="4" w:space="0" w:color="000000"/>
        </w:tcBorders>
        <w:shd w:val="clear" w:color="FFFFFF" w:fill="auto"/>
      </w:tcPr>
    </w:tblStylePr>
    <w:tblStylePr w:type="lastRow">
      <w:rPr>
        <w:b/>
      </w:rPr>
      <w:tblPr/>
      <w:tcPr>
        <w:tcBorders>
          <w:top w:val="single" w:sz="4" w:space="0" w:color="0F9ED5" w:themeColor="accent4"/>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C9EDFB" w:fill="C9EDFB" w:themeFill="accent4" w:themeFillTint="34"/>
      </w:tcPr>
    </w:tblStylePr>
    <w:tblStylePr w:type="band1Horz">
      <w:rPr>
        <w:sz w:val="22"/>
      </w:rPr>
      <w:tblPr/>
      <w:tcPr>
        <w:shd w:val="clear" w:color="C9EDFB" w:fill="C9EDFB" w:themeFill="accent4" w:themeFillTint="34"/>
      </w:tcPr>
    </w:tblStylePr>
  </w:style>
  <w:style w:type="table" w:styleId="GridTable2-Accent5">
    <w:name w:val="Grid Table 2 Accent 5"/>
    <w:basedOn w:val="TableNormal"/>
    <w:uiPriority w:val="99"/>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rPr>
      <w:tblPr/>
      <w:tcPr>
        <w:tcBorders>
          <w:top w:val="none" w:sz="4" w:space="0" w:color="000000"/>
          <w:left w:val="none" w:sz="4" w:space="0" w:color="000000"/>
          <w:bottom w:val="single" w:sz="12" w:space="0" w:color="A02B93" w:themeColor="accent5"/>
          <w:right w:val="none" w:sz="4" w:space="0" w:color="000000"/>
        </w:tcBorders>
        <w:shd w:val="clear" w:color="FFFFFF" w:fill="auto"/>
      </w:tcPr>
    </w:tblStylePr>
    <w:tblStylePr w:type="lastRow">
      <w:rPr>
        <w:b/>
      </w:rPr>
      <w:tblPr/>
      <w:tcPr>
        <w:tcBorders>
          <w:top w:val="single" w:sz="4" w:space="0" w:color="A02B93" w:themeColor="accent5"/>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1CDED" w:fill="F1CDED" w:themeFill="accent5" w:themeFillTint="34"/>
      </w:tcPr>
    </w:tblStylePr>
    <w:tblStylePr w:type="band1Horz">
      <w:rPr>
        <w:sz w:val="22"/>
      </w:rPr>
      <w:tblPr/>
      <w:tcPr>
        <w:shd w:val="clear" w:color="F1CDED" w:fill="F1CDED" w:themeFill="accent5" w:themeFillTint="34"/>
      </w:tcPr>
    </w:tblStylePr>
  </w:style>
  <w:style w:type="table" w:styleId="GridTable2-Accent6">
    <w:name w:val="Grid Table 2 Accent 6"/>
    <w:basedOn w:val="TableNormal"/>
    <w:uiPriority w:val="99"/>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rPr>
      <w:tblPr/>
      <w:tcPr>
        <w:tcBorders>
          <w:top w:val="none" w:sz="4" w:space="0" w:color="000000"/>
          <w:left w:val="none" w:sz="4" w:space="0" w:color="000000"/>
          <w:bottom w:val="single" w:sz="12" w:space="0" w:color="4EA72E" w:themeColor="accent6"/>
          <w:right w:val="none" w:sz="4" w:space="0" w:color="000000"/>
        </w:tcBorders>
        <w:shd w:val="clear" w:color="FFFFFF" w:fill="auto"/>
      </w:tcPr>
    </w:tblStylePr>
    <w:tblStylePr w:type="lastRow">
      <w:rPr>
        <w:b/>
      </w:rPr>
      <w:tblPr/>
      <w:tcPr>
        <w:tcBorders>
          <w:top w:val="single" w:sz="4" w:space="0" w:color="4EA72E" w:themeColor="accent6"/>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D8F2CF" w:fill="D8F2CF" w:themeFill="accent6" w:themeFillTint="34"/>
      </w:tcPr>
    </w:tblStylePr>
    <w:tblStylePr w:type="band1Horz">
      <w:rPr>
        <w:sz w:val="22"/>
      </w:rPr>
      <w:tblPr/>
      <w:tcPr>
        <w:shd w:val="clear" w:color="D8F2CF" w:fill="D8F2CF" w:themeFill="accent6"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styleId="GridTable3-Accent1">
    <w:name w:val="Grid Table 3 Accent 1"/>
    <w:basedOn w:val="TableNormal"/>
    <w:uiPriority w:val="99"/>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BFE4F4" w:fill="BFE4F4" w:themeFill="accent1" w:themeFillTint="34"/>
      </w:tcPr>
    </w:tblStylePr>
    <w:tblStylePr w:type="band1Horz">
      <w:rPr>
        <w:sz w:val="22"/>
      </w:rPr>
      <w:tblPr/>
      <w:tcPr>
        <w:shd w:val="clear" w:color="BFE4F4" w:fill="BFE4F4" w:themeFill="accent1" w:themeFillTint="34"/>
      </w:tcPr>
    </w:tblStylePr>
  </w:style>
  <w:style w:type="table" w:styleId="GridTable3-Accent2">
    <w:name w:val="Grid Table 3 Accent 2"/>
    <w:basedOn w:val="TableNormal"/>
    <w:uiPriority w:val="99"/>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AE2D6" w:fill="FAE2D6" w:themeFill="accent2" w:themeFillTint="32"/>
      </w:tcPr>
    </w:tblStylePr>
    <w:tblStylePr w:type="band1Horz">
      <w:rPr>
        <w:sz w:val="22"/>
      </w:rPr>
      <w:tblPr/>
      <w:tcPr>
        <w:shd w:val="clear" w:color="FAE2D6" w:fill="FAE2D6" w:themeFill="accent2" w:themeFillTint="32"/>
      </w:tcPr>
    </w:tblStylePr>
  </w:style>
  <w:style w:type="table" w:styleId="GridTable3-Accent3">
    <w:name w:val="Grid Table 3 Accent 3"/>
    <w:basedOn w:val="TableNormal"/>
    <w:uiPriority w:val="99"/>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C0F0C6" w:fill="C0F0C6" w:themeFill="accent3" w:themeFillTint="34"/>
      </w:tcPr>
    </w:tblStylePr>
    <w:tblStylePr w:type="band1Horz">
      <w:rPr>
        <w:sz w:val="22"/>
      </w:rPr>
      <w:tblPr/>
      <w:tcPr>
        <w:shd w:val="clear" w:color="C0F0C6" w:fill="C0F0C6" w:themeFill="accent3" w:themeFillTint="34"/>
      </w:tcPr>
    </w:tblStylePr>
  </w:style>
  <w:style w:type="table" w:styleId="GridTable3-Accent4">
    <w:name w:val="Grid Table 3 Accent 4"/>
    <w:basedOn w:val="TableNormal"/>
    <w:uiPriority w:val="99"/>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C9EDFB" w:fill="C9EDFB" w:themeFill="accent4" w:themeFillTint="34"/>
      </w:tcPr>
    </w:tblStylePr>
    <w:tblStylePr w:type="band1Horz">
      <w:rPr>
        <w:sz w:val="22"/>
      </w:rPr>
      <w:tblPr/>
      <w:tcPr>
        <w:shd w:val="clear" w:color="C9EDFB" w:fill="C9EDFB" w:themeFill="accent4" w:themeFillTint="34"/>
      </w:tcPr>
    </w:tblStylePr>
  </w:style>
  <w:style w:type="table" w:styleId="GridTable3-Accent5">
    <w:name w:val="Grid Table 3 Accent 5"/>
    <w:basedOn w:val="TableNormal"/>
    <w:uiPriority w:val="99"/>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1CDED" w:fill="F1CDED" w:themeFill="accent5" w:themeFillTint="34"/>
      </w:tcPr>
    </w:tblStylePr>
    <w:tblStylePr w:type="band1Horz">
      <w:rPr>
        <w:sz w:val="22"/>
      </w:rPr>
      <w:tblPr/>
      <w:tcPr>
        <w:shd w:val="clear" w:color="F1CDED" w:fill="F1CDED" w:themeFill="accent5" w:themeFillTint="34"/>
      </w:tcPr>
    </w:tblStylePr>
  </w:style>
  <w:style w:type="table" w:styleId="GridTable3-Accent6">
    <w:name w:val="Grid Table 3 Accent 6"/>
    <w:basedOn w:val="TableNormal"/>
    <w:uiPriority w:val="99"/>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D8F2CF" w:fill="D8F2CF" w:themeFill="accent6" w:themeFillTint="34"/>
      </w:tcPr>
    </w:tblStylePr>
    <w:tblStylePr w:type="band1Horz">
      <w:rPr>
        <w:sz w:val="22"/>
      </w:rPr>
      <w:tblPr/>
      <w:tcPr>
        <w:shd w:val="clear" w:color="D8F2CF" w:fill="D8F2CF" w:themeFill="accent6"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b/>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fill="000000" w:themeFill="text1"/>
      </w:tcPr>
    </w:tblStylePr>
    <w:tblStylePr w:type="lastRow">
      <w:rPr>
        <w:b/>
      </w:rPr>
      <w:tblPr/>
      <w:tcPr>
        <w:tcBorders>
          <w:top w:val="single" w:sz="4" w:space="0" w:color="000000" w:themeColor="text1"/>
        </w:tcBorders>
      </w:tcPr>
    </w:tblStylePr>
    <w:tblStylePr w:type="firstCol">
      <w:rPr>
        <w:b/>
      </w:rPr>
    </w:tblStylePr>
    <w:tblStylePr w:type="lastCol">
      <w:rPr>
        <w:b/>
      </w:r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styleId="GridTable4-Accent1">
    <w:name w:val="Grid Table 4 Accent 1"/>
    <w:basedOn w:val="TableNormal"/>
    <w:uiPriority w:val="59"/>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insideV w:val="single" w:sz="4" w:space="0" w:color="50B4E2" w:themeColor="accent1" w:themeTint="90"/>
      </w:tblBorders>
    </w:tblPr>
    <w:tblStylePr w:type="firstRow">
      <w:rPr>
        <w:b/>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19729B" w:fill="19729B" w:themeFill="accent1" w:themeFillTint="EA"/>
      </w:tcPr>
    </w:tblStylePr>
    <w:tblStylePr w:type="lastRow">
      <w:rPr>
        <w:b/>
      </w:rPr>
      <w:tblPr/>
      <w:tcPr>
        <w:tcBorders>
          <w:top w:val="single" w:sz="4" w:space="0" w:color="156082" w:themeColor="accent1"/>
        </w:tcBorders>
      </w:tcPr>
    </w:tblStylePr>
    <w:tblStylePr w:type="firstCol">
      <w:rPr>
        <w:b/>
      </w:rPr>
    </w:tblStylePr>
    <w:tblStylePr w:type="lastCol">
      <w:rPr>
        <w:b/>
      </w:rPr>
    </w:tblStylePr>
    <w:tblStylePr w:type="band1Vert">
      <w:rPr>
        <w:sz w:val="22"/>
      </w:rPr>
      <w:tblPr/>
      <w:tcPr>
        <w:shd w:val="clear" w:color="C2E5F5" w:fill="C2E5F5" w:themeFill="accent1" w:themeFillTint="32"/>
      </w:tcPr>
    </w:tblStylePr>
    <w:tblStylePr w:type="band1Horz">
      <w:rPr>
        <w:sz w:val="22"/>
      </w:rPr>
      <w:tblPr/>
      <w:tcPr>
        <w:shd w:val="clear" w:color="C2E5F5" w:fill="C2E5F5" w:themeFill="accent1" w:themeFillTint="32"/>
      </w:tcPr>
    </w:tblStylePr>
  </w:style>
  <w:style w:type="table" w:styleId="GridTable4-Accent2">
    <w:name w:val="Grid Table 4 Accent 2"/>
    <w:basedOn w:val="TableNormal"/>
    <w:uiPriority w:val="59"/>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insideV w:val="single" w:sz="4" w:space="0" w:color="F2AE8B" w:themeColor="accent2" w:themeTint="90"/>
      </w:tblBorders>
    </w:tblPr>
    <w:tblStylePr w:type="firstRow">
      <w:rPr>
        <w:b/>
        <w:sz w:val="22"/>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tcBorders>
        <w:shd w:val="clear" w:color="F2AA85" w:fill="F2AA85" w:themeFill="accent2" w:themeFillTint="97"/>
      </w:tcPr>
    </w:tblStylePr>
    <w:tblStylePr w:type="lastRow">
      <w:rPr>
        <w:b/>
      </w:rPr>
      <w:tblPr/>
      <w:tcPr>
        <w:tcBorders>
          <w:top w:val="single" w:sz="4" w:space="0" w:color="E97132" w:themeColor="accent2"/>
        </w:tcBorders>
      </w:tcPr>
    </w:tblStylePr>
    <w:tblStylePr w:type="firstCol">
      <w:rPr>
        <w:b/>
      </w:rPr>
    </w:tblStylePr>
    <w:tblStylePr w:type="lastCol">
      <w:rPr>
        <w:b/>
      </w:rPr>
    </w:tblStylePr>
    <w:tblStylePr w:type="band1Vert">
      <w:rPr>
        <w:sz w:val="22"/>
      </w:rPr>
      <w:tblPr/>
      <w:tcPr>
        <w:shd w:val="clear" w:color="FAE2D6" w:fill="FAE2D6" w:themeFill="accent2" w:themeFillTint="32"/>
      </w:tcPr>
    </w:tblStylePr>
    <w:tblStylePr w:type="band1Horz">
      <w:rPr>
        <w:sz w:val="22"/>
      </w:rPr>
      <w:tblPr/>
      <w:tcPr>
        <w:shd w:val="clear" w:color="FAE2D6" w:fill="FAE2D6" w:themeFill="accent2" w:themeFillTint="32"/>
      </w:tcPr>
    </w:tblStylePr>
  </w:style>
  <w:style w:type="table" w:styleId="GridTable4-Accent3">
    <w:name w:val="Grid Table 4 Accent 3"/>
    <w:basedOn w:val="TableNormal"/>
    <w:uiPriority w:val="59"/>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insideV w:val="single" w:sz="4" w:space="0" w:color="51D663" w:themeColor="accent3" w:themeTint="90"/>
      </w:tblBorders>
    </w:tblPr>
    <w:tblStylePr w:type="firstRow">
      <w:rPr>
        <w:b/>
        <w:sz w:val="22"/>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tcBorders>
        <w:shd w:val="clear" w:color="196C24" w:fill="196C24" w:themeFill="accent3" w:themeFillTint="FE"/>
      </w:tcPr>
    </w:tblStylePr>
    <w:tblStylePr w:type="lastRow">
      <w:rPr>
        <w:b/>
      </w:rPr>
      <w:tblPr/>
      <w:tcPr>
        <w:tcBorders>
          <w:top w:val="single" w:sz="4" w:space="0" w:color="196B24" w:themeColor="accent3"/>
        </w:tcBorders>
      </w:tcPr>
    </w:tblStylePr>
    <w:tblStylePr w:type="firstCol">
      <w:rPr>
        <w:b/>
      </w:rPr>
    </w:tblStylePr>
    <w:tblStylePr w:type="lastCol">
      <w:rPr>
        <w:b/>
      </w:rPr>
    </w:tblStylePr>
    <w:tblStylePr w:type="band1Vert">
      <w:rPr>
        <w:sz w:val="22"/>
      </w:rPr>
      <w:tblPr/>
      <w:tcPr>
        <w:shd w:val="clear" w:color="C0F0C6" w:fill="C0F0C6" w:themeFill="accent3" w:themeFillTint="34"/>
      </w:tcPr>
    </w:tblStylePr>
    <w:tblStylePr w:type="band1Horz">
      <w:rPr>
        <w:sz w:val="22"/>
      </w:rPr>
      <w:tblPr/>
      <w:tcPr>
        <w:shd w:val="clear" w:color="C0F0C6" w:fill="C0F0C6" w:themeFill="accent3" w:themeFillTint="34"/>
      </w:tcPr>
    </w:tblStylePr>
  </w:style>
  <w:style w:type="table" w:styleId="GridTable4-Accent4">
    <w:name w:val="Grid Table 4 Accent 4"/>
    <w:basedOn w:val="TableNormal"/>
    <w:uiPriority w:val="59"/>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insideV w:val="single" w:sz="4" w:space="0" w:color="6ACDF4" w:themeColor="accent4" w:themeTint="90"/>
      </w:tblBorders>
    </w:tblPr>
    <w:tblStylePr w:type="firstRow">
      <w:rPr>
        <w:b/>
        <w:sz w:val="22"/>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tcBorders>
        <w:shd w:val="clear" w:color="5FCAF3" w:fill="5FCAF3" w:themeFill="accent4" w:themeFillTint="9A"/>
      </w:tcPr>
    </w:tblStylePr>
    <w:tblStylePr w:type="lastRow">
      <w:rPr>
        <w:b/>
      </w:rPr>
      <w:tblPr/>
      <w:tcPr>
        <w:tcBorders>
          <w:top w:val="single" w:sz="4" w:space="0" w:color="0F9ED5" w:themeColor="accent4"/>
        </w:tcBorders>
      </w:tcPr>
    </w:tblStylePr>
    <w:tblStylePr w:type="firstCol">
      <w:rPr>
        <w:b/>
      </w:rPr>
    </w:tblStylePr>
    <w:tblStylePr w:type="lastCol">
      <w:rPr>
        <w:b/>
      </w:rPr>
    </w:tblStylePr>
    <w:tblStylePr w:type="band1Vert">
      <w:rPr>
        <w:sz w:val="22"/>
      </w:rPr>
      <w:tblPr/>
      <w:tcPr>
        <w:shd w:val="clear" w:color="C9EDFB" w:fill="C9EDFB" w:themeFill="accent4" w:themeFillTint="34"/>
      </w:tcPr>
    </w:tblStylePr>
    <w:tblStylePr w:type="band1Horz">
      <w:rPr>
        <w:sz w:val="22"/>
      </w:rPr>
      <w:tblPr/>
      <w:tcPr>
        <w:shd w:val="clear" w:color="C9EDFB" w:fill="C9EDFB" w:themeFill="accent4" w:themeFillTint="34"/>
      </w:tcPr>
    </w:tblStylePr>
  </w:style>
  <w:style w:type="table" w:styleId="GridTable4-Accent5">
    <w:name w:val="Grid Table 4 Accent 5"/>
    <w:basedOn w:val="TableNormal"/>
    <w:uiPriority w:val="59"/>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b/>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shd w:val="clear" w:color="A02B93" w:fill="A02B93" w:themeFill="accent5"/>
      </w:tcPr>
    </w:tblStylePr>
    <w:tblStylePr w:type="lastRow">
      <w:rPr>
        <w:b/>
      </w:rPr>
      <w:tblPr/>
      <w:tcPr>
        <w:tcBorders>
          <w:top w:val="single" w:sz="4" w:space="0" w:color="A02B93" w:themeColor="accent5"/>
        </w:tcBorders>
      </w:tcPr>
    </w:tblStylePr>
    <w:tblStylePr w:type="firstCol">
      <w:rPr>
        <w:b/>
      </w:rPr>
    </w:tblStylePr>
    <w:tblStylePr w:type="lastCol">
      <w:rPr>
        <w:b/>
      </w:rPr>
    </w:tblStylePr>
    <w:tblStylePr w:type="band1Vert">
      <w:rPr>
        <w:sz w:val="22"/>
      </w:rPr>
      <w:tblPr/>
      <w:tcPr>
        <w:shd w:val="clear" w:color="F1CDED" w:fill="F1CDED" w:themeFill="accent5" w:themeFillTint="34"/>
      </w:tcPr>
    </w:tblStylePr>
    <w:tblStylePr w:type="band1Horz">
      <w:rPr>
        <w:sz w:val="22"/>
      </w:rPr>
      <w:tblPr/>
      <w:tcPr>
        <w:shd w:val="clear" w:color="F1CDED" w:fill="F1CDED" w:themeFill="accent5" w:themeFillTint="34"/>
      </w:tcPr>
    </w:tblStylePr>
  </w:style>
  <w:style w:type="table" w:styleId="GridTable4-Accent6">
    <w:name w:val="Grid Table 4 Accent 6"/>
    <w:basedOn w:val="TableNormal"/>
    <w:uiPriority w:val="59"/>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b/>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shd w:val="clear" w:color="4EA72E" w:fill="4EA72E" w:themeFill="accent6"/>
      </w:tcPr>
    </w:tblStylePr>
    <w:tblStylePr w:type="lastRow">
      <w:rPr>
        <w:b/>
      </w:rPr>
      <w:tblPr/>
      <w:tcPr>
        <w:tcBorders>
          <w:top w:val="single" w:sz="4" w:space="0" w:color="4EA72E" w:themeColor="accent6"/>
        </w:tcBorders>
      </w:tcPr>
    </w:tblStylePr>
    <w:tblStylePr w:type="firstCol">
      <w:rPr>
        <w:b/>
      </w:rPr>
    </w:tblStylePr>
    <w:tblStylePr w:type="lastCol">
      <w:rPr>
        <w:b/>
      </w:rPr>
    </w:tblStylePr>
    <w:tblStylePr w:type="band1Vert">
      <w:rPr>
        <w:sz w:val="22"/>
      </w:rPr>
      <w:tblPr/>
      <w:tcPr>
        <w:shd w:val="clear" w:color="D8F2CF" w:fill="D8F2CF" w:themeFill="accent6" w:themeFillTint="34"/>
      </w:tcPr>
    </w:tblStylePr>
    <w:tblStylePr w:type="band1Horz">
      <w:rPr>
        <w:sz w:val="22"/>
      </w:rPr>
      <w:tblPr/>
      <w:tcPr>
        <w:shd w:val="clear" w:color="D8F2CF" w:fill="D8F2CF" w:themeFill="accent6"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000000" w:fill="000000" w:themeFill="text1"/>
      </w:tcPr>
    </w:tblStylePr>
    <w:tblStylePr w:type="lastRow">
      <w:rPr>
        <w:b/>
        <w:sz w:val="22"/>
      </w:rPr>
      <w:tblPr/>
      <w:tcPr>
        <w:tcBorders>
          <w:top w:val="single" w:sz="4" w:space="0" w:color="FFFFFF" w:themeColor="light1"/>
        </w:tcBorders>
        <w:shd w:val="clear" w:color="000000" w:fill="000000" w:themeFill="text1"/>
      </w:tcPr>
    </w:tblStylePr>
    <w:tblStylePr w:type="firstCol">
      <w:rPr>
        <w:b/>
        <w:sz w:val="22"/>
      </w:rPr>
      <w:tblPr/>
      <w:tcPr>
        <w:shd w:val="clear" w:color="000000" w:fill="000000" w:themeFill="text1"/>
      </w:tcPr>
    </w:tblStylePr>
    <w:tblStylePr w:type="lastCol">
      <w:rPr>
        <w:b/>
        <w:sz w:val="22"/>
      </w:rPr>
      <w:tblPr/>
      <w:tcPr>
        <w:shd w:val="clear" w:color="000000" w:fill="000000" w:themeFill="text1"/>
      </w:tcPr>
    </w:tblStylePr>
    <w:tblStylePr w:type="band1Vert">
      <w:tblPr/>
      <w:tcPr>
        <w:shd w:val="clear" w:color="8A8A8A" w:fill="8A8A8A" w:themeFill="text1" w:themeFillTint="75"/>
      </w:tcPr>
    </w:tblStylePr>
    <w:tblStylePr w:type="band1Horz">
      <w:tblPr/>
      <w:tcPr>
        <w:shd w:val="clear" w:color="8A8A8A" w:fill="8A8A8A" w:themeFill="text1" w:themeFillTint="75"/>
      </w:tcPr>
    </w:tblStylePr>
  </w:style>
  <w:style w:type="table" w:customStyle="1" w:styleId="GridTable5Dark-Accent11">
    <w:name w:val="Grid Table 5 Dark - Accent 1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156082" w:fill="156082" w:themeFill="accent1"/>
      </w:tcPr>
    </w:tblStylePr>
    <w:tblStylePr w:type="lastRow">
      <w:rPr>
        <w:b/>
        <w:sz w:val="22"/>
      </w:rPr>
      <w:tblPr/>
      <w:tcPr>
        <w:tcBorders>
          <w:top w:val="single" w:sz="4" w:space="0" w:color="FFFFFF" w:themeColor="light1"/>
        </w:tcBorders>
        <w:shd w:val="clear" w:color="156082" w:fill="156082" w:themeFill="accent1"/>
      </w:tcPr>
    </w:tblStylePr>
    <w:tblStylePr w:type="firstCol">
      <w:rPr>
        <w:b/>
        <w:sz w:val="22"/>
      </w:rPr>
      <w:tblPr/>
      <w:tcPr>
        <w:shd w:val="clear" w:color="156082" w:fill="156082" w:themeFill="accent1"/>
      </w:tcPr>
    </w:tblStylePr>
    <w:tblStylePr w:type="lastCol">
      <w:rPr>
        <w:b/>
        <w:sz w:val="22"/>
      </w:rPr>
      <w:tblPr/>
      <w:tcPr>
        <w:shd w:val="clear" w:color="156082" w:fill="156082" w:themeFill="accent1"/>
      </w:tcPr>
    </w:tblStylePr>
    <w:tblStylePr w:type="band1Vert">
      <w:tblPr/>
      <w:tcPr>
        <w:shd w:val="clear" w:color="70C2E8" w:fill="70C2E8" w:themeFill="accent1" w:themeFillTint="75"/>
      </w:tcPr>
    </w:tblStylePr>
    <w:tblStylePr w:type="band1Horz">
      <w:tblPr/>
      <w:tcPr>
        <w:shd w:val="clear" w:color="70C2E8" w:fill="70C2E8" w:themeFill="accent1" w:themeFillTint="75"/>
      </w:tcPr>
    </w:tblStylePr>
  </w:style>
  <w:style w:type="table" w:styleId="GridTable5Dark-Accent2">
    <w:name w:val="Grid Table 5 Dark Accent 2"/>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E97132" w:fill="E97132" w:themeFill="accent2"/>
      </w:tcPr>
    </w:tblStylePr>
    <w:tblStylePr w:type="lastRow">
      <w:rPr>
        <w:b/>
        <w:sz w:val="22"/>
      </w:rPr>
      <w:tblPr/>
      <w:tcPr>
        <w:tcBorders>
          <w:top w:val="single" w:sz="4" w:space="0" w:color="FFFFFF" w:themeColor="light1"/>
        </w:tcBorders>
        <w:shd w:val="clear" w:color="E97132" w:fill="E97132" w:themeFill="accent2"/>
      </w:tcPr>
    </w:tblStylePr>
    <w:tblStylePr w:type="firstCol">
      <w:rPr>
        <w:b/>
        <w:sz w:val="22"/>
      </w:rPr>
      <w:tblPr/>
      <w:tcPr>
        <w:shd w:val="clear" w:color="E97132" w:fill="E97132" w:themeFill="accent2"/>
      </w:tcPr>
    </w:tblStylePr>
    <w:tblStylePr w:type="lastCol">
      <w:rPr>
        <w:b/>
        <w:sz w:val="22"/>
      </w:rPr>
      <w:tblPr/>
      <w:tcPr>
        <w:shd w:val="clear" w:color="E97132" w:fill="E97132" w:themeFill="accent2"/>
      </w:tcPr>
    </w:tblStylePr>
    <w:tblStylePr w:type="band1Vert">
      <w:tblPr/>
      <w:tcPr>
        <w:shd w:val="clear" w:color="F5BDA0" w:fill="F5BDA0" w:themeFill="accent2" w:themeFillTint="75"/>
      </w:tcPr>
    </w:tblStylePr>
    <w:tblStylePr w:type="band1Horz">
      <w:tblPr/>
      <w:tcPr>
        <w:shd w:val="clear" w:color="F5BDA0" w:fill="F5BDA0" w:themeFill="accent2" w:themeFillTint="75"/>
      </w:tcPr>
    </w:tblStylePr>
  </w:style>
  <w:style w:type="table" w:styleId="GridTable5Dark-Accent3">
    <w:name w:val="Grid Table 5 Dark Accent 3"/>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196B24" w:fill="196B24" w:themeFill="accent3"/>
      </w:tcPr>
    </w:tblStylePr>
    <w:tblStylePr w:type="lastRow">
      <w:rPr>
        <w:b/>
        <w:sz w:val="22"/>
      </w:rPr>
      <w:tblPr/>
      <w:tcPr>
        <w:tcBorders>
          <w:top w:val="single" w:sz="4" w:space="0" w:color="FFFFFF" w:themeColor="light1"/>
        </w:tcBorders>
        <w:shd w:val="clear" w:color="196B24" w:fill="196B24" w:themeFill="accent3"/>
      </w:tcPr>
    </w:tblStylePr>
    <w:tblStylePr w:type="firstCol">
      <w:rPr>
        <w:b/>
        <w:sz w:val="22"/>
      </w:rPr>
      <w:tblPr/>
      <w:tcPr>
        <w:shd w:val="clear" w:color="196B24" w:fill="196B24" w:themeFill="accent3"/>
      </w:tcPr>
    </w:tblStylePr>
    <w:tblStylePr w:type="lastCol">
      <w:rPr>
        <w:b/>
        <w:sz w:val="22"/>
      </w:rPr>
      <w:tblPr/>
      <w:tcPr>
        <w:shd w:val="clear" w:color="196B24" w:fill="196B24" w:themeFill="accent3"/>
      </w:tcPr>
    </w:tblStylePr>
    <w:tblStylePr w:type="band1Vert">
      <w:tblPr/>
      <w:tcPr>
        <w:shd w:val="clear" w:color="72DE80" w:fill="72DE80" w:themeFill="accent3" w:themeFillTint="75"/>
      </w:tcPr>
    </w:tblStylePr>
    <w:tblStylePr w:type="band1Horz">
      <w:tblPr/>
      <w:tcPr>
        <w:shd w:val="clear" w:color="72DE80" w:fill="72DE80" w:themeFill="accent3" w:themeFillTint="75"/>
      </w:tcPr>
    </w:tblStylePr>
  </w:style>
  <w:style w:type="table" w:customStyle="1" w:styleId="GridTable5Dark-Accent41">
    <w:name w:val="Grid Table 5 Dark - Accent 4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0F9ED5" w:fill="0F9ED5" w:themeFill="accent4"/>
      </w:tcPr>
    </w:tblStylePr>
    <w:tblStylePr w:type="lastRow">
      <w:rPr>
        <w:b/>
        <w:sz w:val="22"/>
      </w:rPr>
      <w:tblPr/>
      <w:tcPr>
        <w:tcBorders>
          <w:top w:val="single" w:sz="4" w:space="0" w:color="FFFFFF" w:themeColor="light1"/>
        </w:tcBorders>
        <w:shd w:val="clear" w:color="0F9ED5" w:fill="0F9ED5" w:themeFill="accent4"/>
      </w:tcPr>
    </w:tblStylePr>
    <w:tblStylePr w:type="firstCol">
      <w:rPr>
        <w:b/>
        <w:sz w:val="22"/>
      </w:rPr>
      <w:tblPr/>
      <w:tcPr>
        <w:shd w:val="clear" w:color="0F9ED5" w:fill="0F9ED5" w:themeFill="accent4"/>
      </w:tcPr>
    </w:tblStylePr>
    <w:tblStylePr w:type="lastCol">
      <w:rPr>
        <w:b/>
        <w:sz w:val="22"/>
      </w:rPr>
      <w:tblPr/>
      <w:tcPr>
        <w:shd w:val="clear" w:color="0F9ED5" w:fill="0F9ED5" w:themeFill="accent4"/>
      </w:tcPr>
    </w:tblStylePr>
    <w:tblStylePr w:type="band1Vert">
      <w:tblPr/>
      <w:tcPr>
        <w:shd w:val="clear" w:color="85D7F6" w:fill="85D7F6" w:themeFill="accent4" w:themeFillTint="75"/>
      </w:tcPr>
    </w:tblStylePr>
    <w:tblStylePr w:type="band1Horz">
      <w:tblPr/>
      <w:tcPr>
        <w:shd w:val="clear" w:color="85D7F6" w:fill="85D7F6" w:themeFill="accent4" w:themeFillTint="75"/>
      </w:tcPr>
    </w:tblStylePr>
  </w:style>
  <w:style w:type="table" w:styleId="GridTable5Dark-Accent5">
    <w:name w:val="Grid Table 5 Dark Accent 5"/>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A02B93" w:fill="A02B93" w:themeFill="accent5"/>
      </w:tcPr>
    </w:tblStylePr>
    <w:tblStylePr w:type="lastRow">
      <w:rPr>
        <w:b/>
        <w:sz w:val="22"/>
      </w:rPr>
      <w:tblPr/>
      <w:tcPr>
        <w:tcBorders>
          <w:top w:val="single" w:sz="4" w:space="0" w:color="FFFFFF" w:themeColor="light1"/>
        </w:tcBorders>
        <w:shd w:val="clear" w:color="A02B93" w:fill="A02B93" w:themeFill="accent5"/>
      </w:tcPr>
    </w:tblStylePr>
    <w:tblStylePr w:type="firstCol">
      <w:rPr>
        <w:b/>
        <w:sz w:val="22"/>
      </w:rPr>
      <w:tblPr/>
      <w:tcPr>
        <w:shd w:val="clear" w:color="A02B93" w:fill="A02B93" w:themeFill="accent5"/>
      </w:tcPr>
    </w:tblStylePr>
    <w:tblStylePr w:type="lastCol">
      <w:rPr>
        <w:b/>
        <w:sz w:val="22"/>
      </w:rPr>
      <w:tblPr/>
      <w:tcPr>
        <w:shd w:val="clear" w:color="A02B93" w:fill="A02B93" w:themeFill="accent5"/>
      </w:tcPr>
    </w:tblStylePr>
    <w:tblStylePr w:type="band1Vert">
      <w:tblPr/>
      <w:tcPr>
        <w:shd w:val="clear" w:color="E18FD7" w:fill="E18FD7" w:themeFill="accent5" w:themeFillTint="75"/>
      </w:tcPr>
    </w:tblStylePr>
    <w:tblStylePr w:type="band1Horz">
      <w:tblPr/>
      <w:tcPr>
        <w:shd w:val="clear" w:color="E18FD7" w:fill="E18FD7" w:themeFill="accent5" w:themeFillTint="75"/>
      </w:tcPr>
    </w:tblStylePr>
  </w:style>
  <w:style w:type="table" w:styleId="GridTable5Dark-Accent6">
    <w:name w:val="Grid Table 5 Dark Accent 6"/>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4EA72E" w:fill="4EA72E" w:themeFill="accent6"/>
      </w:tcPr>
    </w:tblStylePr>
    <w:tblStylePr w:type="lastRow">
      <w:rPr>
        <w:b/>
        <w:sz w:val="22"/>
      </w:rPr>
      <w:tblPr/>
      <w:tcPr>
        <w:tcBorders>
          <w:top w:val="single" w:sz="4" w:space="0" w:color="FFFFFF" w:themeColor="light1"/>
        </w:tcBorders>
        <w:shd w:val="clear" w:color="4EA72E" w:fill="4EA72E" w:themeFill="accent6"/>
      </w:tcPr>
    </w:tblStylePr>
    <w:tblStylePr w:type="firstCol">
      <w:rPr>
        <w:b/>
        <w:sz w:val="22"/>
      </w:rPr>
      <w:tblPr/>
      <w:tcPr>
        <w:shd w:val="clear" w:color="4EA72E" w:fill="4EA72E" w:themeFill="accent6"/>
      </w:tcPr>
    </w:tblStylePr>
    <w:tblStylePr w:type="lastCol">
      <w:rPr>
        <w:b/>
        <w:sz w:val="22"/>
      </w:rPr>
      <w:tblPr/>
      <w:tcPr>
        <w:shd w:val="clear" w:color="4EA72E" w:fill="4EA72E" w:themeFill="accent6"/>
      </w:tcPr>
    </w:tblStylePr>
    <w:tblStylePr w:type="band1Vert">
      <w:tblPr/>
      <w:tcPr>
        <w:shd w:val="clear" w:color="A8E194" w:fill="A8E194" w:themeFill="accent6" w:themeFillTint="75"/>
      </w:tcPr>
    </w:tblStylePr>
    <w:tblStylePr w:type="band1Horz">
      <w:tblPr/>
      <w:tcPr>
        <w:shd w:val="clear" w:color="A8E194" w:fill="A8E194" w:themeFill="accent6"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000000" w:themeColor="text1"/>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fill="CBCBCB" w:themeFill="text1" w:themeFillTint="34"/>
      </w:tcPr>
    </w:tblStylePr>
    <w:tblStylePr w:type="band1Horz">
      <w:rPr>
        <w:color w:val="7F7F7F" w:themeColor="text1" w:themeTint="80" w:themeShade="95"/>
        <w:sz w:val="22"/>
      </w:rPr>
      <w:tblPr/>
      <w:tcPr>
        <w:shd w:val="clear" w:color="CBCBCB" w:fill="CBCBCB" w:themeFill="text1" w:themeFillTint="34"/>
      </w:tcPr>
    </w:tblStylePr>
    <w:tblStylePr w:type="band2Horz">
      <w:rPr>
        <w:color w:val="7F7F7F" w:themeColor="text1" w:themeTint="80" w:themeShade="95"/>
        <w:sz w:val="22"/>
      </w:rPr>
    </w:tblStylePr>
  </w:style>
  <w:style w:type="table" w:styleId="GridTable6Colorful-Accent1">
    <w:name w:val="Grid Table 6 Colorful Accent 1"/>
    <w:basedOn w:val="TableNormal"/>
    <w:uiPriority w:val="99"/>
    <w:tblPr>
      <w:tblStyleRowBandSize w:val="1"/>
      <w:tblStyleColBandSize w:val="1"/>
      <w:tblBorders>
        <w:top w:val="single" w:sz="4" w:space="0" w:color="63BDE6" w:themeColor="accent1" w:themeTint="80"/>
        <w:left w:val="single" w:sz="4" w:space="0" w:color="63BDE6" w:themeColor="accent1" w:themeTint="80"/>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rPr>
      <w:tblPr/>
      <w:tcPr>
        <w:tcBorders>
          <w:bottom w:val="single" w:sz="12" w:space="0" w:color="156082" w:themeColor="accent1"/>
        </w:tcBorders>
      </w:tcPr>
    </w:tblStylePr>
    <w:tblStylePr w:type="lastRow">
      <w:rPr>
        <w:b/>
        <w:color w:val="63BDE6" w:themeColor="accent1" w:themeTint="80" w:themeShade="95"/>
      </w:rPr>
    </w:tblStylePr>
    <w:tblStylePr w:type="firstCol">
      <w:rPr>
        <w:b/>
        <w:color w:val="63BDE6" w:themeColor="accent1" w:themeTint="80" w:themeShade="95"/>
      </w:rPr>
    </w:tblStylePr>
    <w:tblStylePr w:type="lastCol">
      <w:rPr>
        <w:b/>
        <w:color w:val="63BDE6" w:themeColor="accent1" w:themeTint="80" w:themeShade="95"/>
      </w:rPr>
    </w:tblStylePr>
    <w:tblStylePr w:type="band1Vert">
      <w:tblPr/>
      <w:tcPr>
        <w:shd w:val="clear" w:color="BFE4F4" w:fill="BFE4F4" w:themeFill="accent1" w:themeFillTint="34"/>
      </w:tcPr>
    </w:tblStylePr>
    <w:tblStylePr w:type="band1Horz">
      <w:rPr>
        <w:color w:val="63BDE6" w:themeColor="accent1" w:themeTint="80" w:themeShade="95"/>
        <w:sz w:val="22"/>
      </w:rPr>
      <w:tblPr/>
      <w:tcPr>
        <w:shd w:val="clear" w:color="BFE4F4" w:fill="BFE4F4" w:themeFill="accent1" w:themeFillTint="34"/>
      </w:tcPr>
    </w:tblStylePr>
    <w:tblStylePr w:type="band2Horz">
      <w:rPr>
        <w:color w:val="63BDE6" w:themeColor="accent1" w:themeTint="80" w:themeShade="95"/>
        <w:sz w:val="22"/>
      </w:rPr>
    </w:tblStylePr>
  </w:style>
  <w:style w:type="table" w:styleId="GridTable6Colorful-Accent2">
    <w:name w:val="Grid Table 6 Colorful Accent 2"/>
    <w:basedOn w:val="TableNormal"/>
    <w:uiPriority w:val="99"/>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rPr>
      <w:tblPr/>
      <w:tcPr>
        <w:tcBorders>
          <w:bottom w:val="single" w:sz="12" w:space="0" w:color="E97132" w:themeColor="accent2"/>
        </w:tcBorders>
      </w:tcPr>
    </w:tblStylePr>
    <w:tblStylePr w:type="lastRow">
      <w:rPr>
        <w:b/>
        <w:color w:val="F2AA85" w:themeColor="accent2" w:themeTint="97" w:themeShade="95"/>
      </w:r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AE2D6" w:fill="FAE2D6" w:themeFill="accent2" w:themeFillTint="32"/>
      </w:tcPr>
    </w:tblStylePr>
    <w:tblStylePr w:type="band1Horz">
      <w:rPr>
        <w:color w:val="F2AA85" w:themeColor="accent2" w:themeTint="97" w:themeShade="95"/>
        <w:sz w:val="22"/>
      </w:rPr>
      <w:tblPr/>
      <w:tcPr>
        <w:shd w:val="clear" w:color="FAE2D6" w:fill="FAE2D6" w:themeFill="accent2" w:themeFillTint="32"/>
      </w:tcPr>
    </w:tblStylePr>
    <w:tblStylePr w:type="band2Horz">
      <w:rPr>
        <w:color w:val="F2AA85" w:themeColor="accent2" w:themeTint="97" w:themeShade="95"/>
        <w:sz w:val="22"/>
      </w:rPr>
    </w:tblStylePr>
  </w:style>
  <w:style w:type="table" w:styleId="GridTable6Colorful-Accent3">
    <w:name w:val="Grid Table 6 Colorful Accent 3"/>
    <w:basedOn w:val="TableNormal"/>
    <w:uiPriority w:val="99"/>
    <w:tblPr>
      <w:tblStyleRowBandSize w:val="1"/>
      <w:tblStyleColBandSize w:val="1"/>
      <w:tbl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rPr>
      <w:tblPr/>
      <w:tcPr>
        <w:tcBorders>
          <w:bottom w:val="single" w:sz="12" w:space="0" w:color="196B24" w:themeColor="accent3"/>
        </w:tcBorders>
      </w:tcPr>
    </w:tblStylePr>
    <w:tblStylePr w:type="lastRow">
      <w:rPr>
        <w:b/>
        <w:color w:val="196C24" w:themeColor="accent3" w:themeTint="FE" w:themeShade="95"/>
      </w:rPr>
    </w:tblStylePr>
    <w:tblStylePr w:type="firstCol">
      <w:rPr>
        <w:b/>
        <w:color w:val="196C24" w:themeColor="accent3" w:themeTint="FE" w:themeShade="95"/>
      </w:rPr>
    </w:tblStylePr>
    <w:tblStylePr w:type="lastCol">
      <w:rPr>
        <w:b/>
        <w:color w:val="196C24" w:themeColor="accent3" w:themeTint="FE" w:themeShade="95"/>
      </w:rPr>
    </w:tblStylePr>
    <w:tblStylePr w:type="band1Vert">
      <w:tblPr/>
      <w:tcPr>
        <w:shd w:val="clear" w:color="C0F0C6" w:fill="C0F0C6" w:themeFill="accent3" w:themeFillTint="34"/>
      </w:tcPr>
    </w:tblStylePr>
    <w:tblStylePr w:type="band1Horz">
      <w:rPr>
        <w:color w:val="196C24" w:themeColor="accent3" w:themeTint="FE" w:themeShade="95"/>
        <w:sz w:val="22"/>
      </w:rPr>
      <w:tblPr/>
      <w:tcPr>
        <w:shd w:val="clear" w:color="C0F0C6" w:fill="C0F0C6" w:themeFill="accent3" w:themeFillTint="34"/>
      </w:tcPr>
    </w:tblStylePr>
    <w:tblStylePr w:type="band2Horz">
      <w:rPr>
        <w:color w:val="196C24" w:themeColor="accent3" w:themeTint="FE" w:themeShade="95"/>
        <w:sz w:val="22"/>
      </w:rPr>
    </w:tblStylePr>
  </w:style>
  <w:style w:type="table" w:styleId="GridTable6Colorful-Accent4">
    <w:name w:val="Grid Table 6 Colorful Accent 4"/>
    <w:basedOn w:val="TableNormal"/>
    <w:uiPriority w:val="99"/>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rPr>
      <w:tblPr/>
      <w:tcPr>
        <w:tcBorders>
          <w:bottom w:val="single" w:sz="12" w:space="0" w:color="0F9ED5" w:themeColor="accent4"/>
        </w:tcBorders>
      </w:tcPr>
    </w:tblStylePr>
    <w:tblStylePr w:type="lastRow">
      <w:rPr>
        <w:b/>
        <w:color w:val="5FCAF3" w:themeColor="accent4" w:themeTint="9A" w:themeShade="95"/>
      </w:r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C9EDFB" w:fill="C9EDFB" w:themeFill="accent4" w:themeFillTint="34"/>
      </w:tcPr>
    </w:tblStylePr>
    <w:tblStylePr w:type="band1Horz">
      <w:rPr>
        <w:color w:val="5FCAF3" w:themeColor="accent4" w:themeTint="9A" w:themeShade="95"/>
        <w:sz w:val="22"/>
      </w:rPr>
      <w:tblPr/>
      <w:tcPr>
        <w:shd w:val="clear" w:color="C9EDFB" w:fill="C9EDFB" w:themeFill="accent4" w:themeFillTint="34"/>
      </w:tcPr>
    </w:tblStylePr>
    <w:tblStylePr w:type="band2Horz">
      <w:rPr>
        <w:color w:val="5FCAF3" w:themeColor="accent4" w:themeTint="9A" w:themeShade="95"/>
        <w:sz w:val="22"/>
      </w:rPr>
    </w:tblStylePr>
  </w:style>
  <w:style w:type="table" w:styleId="GridTable6Colorful-Accent5">
    <w:name w:val="Grid Table 6 Colorful Accent 5"/>
    <w:basedOn w:val="TableNormal"/>
    <w:uiPriority w:val="99"/>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b/>
        <w:color w:val="5D1955" w:themeColor="accent5" w:themeShade="95"/>
      </w:rPr>
      <w:tblPr/>
      <w:tcPr>
        <w:tcBorders>
          <w:bottom w:val="single" w:sz="12" w:space="0" w:color="A02B93" w:themeColor="accent5"/>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F1CDED" w:fill="F1CDED" w:themeFill="accent5" w:themeFillTint="34"/>
      </w:tcPr>
    </w:tblStylePr>
    <w:tblStylePr w:type="band1Horz">
      <w:rPr>
        <w:color w:val="5D1955" w:themeColor="accent5" w:themeShade="95"/>
        <w:sz w:val="22"/>
      </w:rPr>
      <w:tblPr/>
      <w:tcPr>
        <w:shd w:val="clear" w:color="F1CDED" w:fill="F1CDED" w:themeFill="accent5" w:themeFillTint="34"/>
      </w:tcPr>
    </w:tblStylePr>
    <w:tblStylePr w:type="band2Horz">
      <w:rPr>
        <w:color w:val="5D1955" w:themeColor="accent5" w:themeShade="95"/>
        <w:sz w:val="22"/>
      </w:rPr>
    </w:tblStylePr>
  </w:style>
  <w:style w:type="table" w:styleId="GridTable6Colorful-Accent6">
    <w:name w:val="Grid Table 6 Colorful Accent 6"/>
    <w:basedOn w:val="TableNormal"/>
    <w:uiPriority w:val="99"/>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b/>
        <w:color w:val="5D1955" w:themeColor="accent5" w:themeShade="95"/>
      </w:rPr>
      <w:tblPr/>
      <w:tcPr>
        <w:tcBorders>
          <w:bottom w:val="single" w:sz="12" w:space="0" w:color="4EA72E" w:themeColor="accent6"/>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D8F2CF" w:fill="D8F2CF" w:themeFill="accent6" w:themeFillTint="34"/>
      </w:tcPr>
    </w:tblStylePr>
    <w:tblStylePr w:type="band1Horz">
      <w:rPr>
        <w:color w:val="5D1955" w:themeColor="accent5" w:themeShade="95"/>
        <w:sz w:val="22"/>
      </w:rPr>
      <w:tblPr/>
      <w:tcPr>
        <w:shd w:val="clear" w:color="D8F2CF" w:fill="D8F2CF" w:themeFill="accent6" w:themeFillTint="34"/>
      </w:tcPr>
    </w:tblStylePr>
    <w:tblStylePr w:type="band2Horz">
      <w:rPr>
        <w:color w:val="5D1955" w:themeColor="accent5"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sz w:val="22"/>
      </w:rPr>
      <w:tblPr/>
      <w:tcPr>
        <w:tcBorders>
          <w:top w:val="none" w:sz="0" w:space="0" w:color="auto"/>
          <w:left w:val="none" w:sz="0" w:space="0" w:color="auto"/>
          <w:bottom w:val="single" w:sz="4" w:space="0" w:color="000000" w:themeColor="text1"/>
          <w:right w:val="none" w:sz="0" w:space="0" w:color="auto"/>
        </w:tcBorders>
        <w:shd w:val="clear" w:color="FFFFFF" w:fill="FFFFFF" w:themeFill="light1"/>
      </w:tcPr>
    </w:tblStylePr>
    <w:tblStylePr w:type="lastRow">
      <w:rPr>
        <w:b/>
        <w:color w:val="7F7F7F" w:themeColor="text1" w:themeTint="80" w:themeShade="95"/>
        <w:sz w:val="22"/>
      </w:rPr>
      <w:tblPr/>
      <w:tcPr>
        <w:tcBorders>
          <w:top w:val="single" w:sz="4" w:space="0" w:color="000000" w:themeColor="text1"/>
          <w:left w:val="none" w:sz="0" w:space="0" w:color="auto"/>
          <w:bottom w:val="none" w:sz="0" w:space="0" w:color="auto"/>
          <w:right w:val="none" w:sz="0" w:space="0" w:color="auto"/>
        </w:tcBorders>
        <w:shd w:val="clear" w:color="FFFFFF" w:fill="FFFFFF" w:themeFill="light1"/>
      </w:tcPr>
    </w:tblStylePr>
    <w:tblStylePr w:type="firstCol">
      <w:pPr>
        <w:jc w:val="right"/>
      </w:pPr>
      <w:rPr>
        <w:i/>
        <w:color w:val="7F7F7F" w:themeColor="text1" w:themeTint="80" w:themeShade="95"/>
        <w:sz w:val="22"/>
      </w:rPr>
      <w:tblPr/>
      <w:tcPr>
        <w:tcBorders>
          <w:top w:val="none" w:sz="0" w:space="0" w:color="auto"/>
          <w:left w:val="none" w:sz="0" w:space="0" w:color="auto"/>
          <w:bottom w:val="none" w:sz="0" w:space="0" w:color="auto"/>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0" w:space="0" w:color="auto"/>
          <w:left w:val="single" w:sz="4" w:space="0" w:color="000000" w:themeColor="text1"/>
          <w:bottom w:val="none" w:sz="0" w:space="0" w:color="auto"/>
          <w:right w:val="none" w:sz="0" w:space="0" w:color="auto"/>
        </w:tcBorders>
        <w:shd w:val="clear" w:color="FFFFFF" w:fill="auto"/>
      </w:tcPr>
    </w:tblStylePr>
    <w:tblStylePr w:type="band1Vert">
      <w:tblPr/>
      <w:tcPr>
        <w:shd w:val="clear" w:color="F2F2F2" w:fill="F2F2F2" w:themeFill="text1" w:themeFillTint="0D"/>
      </w:tcPr>
    </w:tblStylePr>
    <w:tblStylePr w:type="band1Horz">
      <w:rPr>
        <w:color w:val="7F7F7F" w:themeColor="text1" w:themeTint="80" w:themeShade="95"/>
        <w:sz w:val="22"/>
      </w:rPr>
      <w:tblPr/>
      <w:tcPr>
        <w:shd w:val="clear" w:color="F2F2F2" w:fill="F2F2F2" w:themeFill="text1" w:themeFillTint="0D"/>
      </w:tcPr>
    </w:tblStylePr>
    <w:tblStylePr w:type="band2Horz">
      <w:rPr>
        <w:color w:val="7F7F7F" w:themeColor="text1" w:themeTint="80" w:themeShade="95"/>
        <w:sz w:val="22"/>
      </w:rPr>
    </w:tblStylePr>
  </w:style>
  <w:style w:type="table" w:styleId="GridTable7Colorful-Accent1">
    <w:name w:val="Grid Table 7 Colorful Accent 1"/>
    <w:basedOn w:val="TableNormal"/>
    <w:uiPriority w:val="99"/>
    <w:tblPr>
      <w:tblStyleRowBandSize w:val="1"/>
      <w:tblStyleColBandSize w:val="1"/>
      <w:tblBorders>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sz w:val="22"/>
      </w:rPr>
      <w:tblPr/>
      <w:tcPr>
        <w:tcBorders>
          <w:top w:val="none" w:sz="0" w:space="0" w:color="auto"/>
          <w:left w:val="none" w:sz="0" w:space="0" w:color="auto"/>
          <w:bottom w:val="single" w:sz="4" w:space="0" w:color="156082" w:themeColor="accent1"/>
          <w:right w:val="none" w:sz="0" w:space="0" w:color="auto"/>
        </w:tcBorders>
        <w:shd w:val="clear" w:color="FFFFFF" w:fill="FFFFFF" w:themeFill="light1"/>
      </w:tcPr>
    </w:tblStylePr>
    <w:tblStylePr w:type="lastRow">
      <w:rPr>
        <w:b/>
        <w:color w:val="63BDE6" w:themeColor="accent1" w:themeTint="80" w:themeShade="95"/>
        <w:sz w:val="22"/>
      </w:rPr>
      <w:tblPr/>
      <w:tcPr>
        <w:tcBorders>
          <w:top w:val="single" w:sz="4" w:space="0" w:color="156082"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i/>
        <w:color w:val="63BDE6" w:themeColor="accent1" w:themeTint="80" w:themeShade="95"/>
        <w:sz w:val="22"/>
      </w:rPr>
      <w:tblPr/>
      <w:tcPr>
        <w:tcBorders>
          <w:top w:val="none" w:sz="0" w:space="0" w:color="auto"/>
          <w:left w:val="none" w:sz="0" w:space="0" w:color="auto"/>
          <w:bottom w:val="none" w:sz="0" w:space="0" w:color="auto"/>
          <w:right w:val="single" w:sz="4" w:space="0" w:color="156082" w:themeColor="accent1"/>
        </w:tcBorders>
        <w:shd w:val="clear" w:color="FFFFFF" w:fill="auto"/>
      </w:tcPr>
    </w:tblStylePr>
    <w:tblStylePr w:type="lastCol">
      <w:rPr>
        <w:i/>
        <w:color w:val="63BDE6" w:themeColor="accent1" w:themeTint="80" w:themeShade="95"/>
        <w:sz w:val="22"/>
      </w:rPr>
      <w:tblPr/>
      <w:tcPr>
        <w:tcBorders>
          <w:top w:val="none" w:sz="0" w:space="0" w:color="auto"/>
          <w:left w:val="single" w:sz="4" w:space="0" w:color="156082" w:themeColor="accent1"/>
          <w:bottom w:val="none" w:sz="0" w:space="0" w:color="auto"/>
          <w:right w:val="none" w:sz="0" w:space="0" w:color="auto"/>
        </w:tcBorders>
        <w:shd w:val="clear" w:color="FFFFFF" w:fill="auto"/>
      </w:tcPr>
    </w:tblStylePr>
    <w:tblStylePr w:type="band1Vert">
      <w:tblPr/>
      <w:tcPr>
        <w:shd w:val="clear" w:color="BFE4F4" w:fill="BFE4F4" w:themeFill="accent1" w:themeFillTint="34"/>
      </w:tcPr>
    </w:tblStylePr>
    <w:tblStylePr w:type="band1Horz">
      <w:rPr>
        <w:color w:val="63BDE6" w:themeColor="accent1" w:themeTint="80" w:themeShade="95"/>
        <w:sz w:val="22"/>
      </w:rPr>
      <w:tblPr/>
      <w:tcPr>
        <w:shd w:val="clear" w:color="BFE4F4" w:fill="BFE4F4" w:themeFill="accent1" w:themeFillTint="34"/>
      </w:tcPr>
    </w:tblStylePr>
    <w:tblStylePr w:type="band2Horz">
      <w:rPr>
        <w:color w:val="63BDE6" w:themeColor="accent1" w:themeTint="80" w:themeShade="95"/>
        <w:sz w:val="22"/>
      </w:rPr>
    </w:tblStylePr>
  </w:style>
  <w:style w:type="table" w:styleId="GridTable7Colorful-Accent2">
    <w:name w:val="Grid Table 7 Colorful Accent 2"/>
    <w:basedOn w:val="TableNormal"/>
    <w:uiPriority w:val="99"/>
    <w:tblPr>
      <w:tblStyleRowBandSize w:val="1"/>
      <w:tblStyleColBandSize w:val="1"/>
      <w:tblBorders>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sz w:val="22"/>
      </w:rPr>
      <w:tblPr/>
      <w:tcPr>
        <w:tcBorders>
          <w:top w:val="none" w:sz="0" w:space="0" w:color="auto"/>
          <w:left w:val="none" w:sz="0" w:space="0" w:color="auto"/>
          <w:bottom w:val="single" w:sz="4" w:space="0" w:color="E97132" w:themeColor="accent2"/>
          <w:right w:val="none" w:sz="0" w:space="0" w:color="auto"/>
        </w:tcBorders>
        <w:shd w:val="clear" w:color="FFFFFF" w:fill="FFFFFF" w:themeFill="light1"/>
      </w:tcPr>
    </w:tblStylePr>
    <w:tblStylePr w:type="lastRow">
      <w:rPr>
        <w:b/>
        <w:color w:val="F2AA85" w:themeColor="accent2" w:themeTint="97" w:themeShade="95"/>
        <w:sz w:val="22"/>
      </w:rPr>
      <w:tblPr/>
      <w:tcPr>
        <w:tcBorders>
          <w:top w:val="single" w:sz="4" w:space="0" w:color="E97132" w:themeColor="accent2"/>
          <w:left w:val="none" w:sz="0" w:space="0" w:color="auto"/>
          <w:bottom w:val="none" w:sz="0" w:space="0" w:color="auto"/>
          <w:right w:val="none" w:sz="0" w:space="0" w:color="auto"/>
        </w:tcBorders>
        <w:shd w:val="clear" w:color="FFFFFF" w:fill="FFFFFF" w:themeFill="light1"/>
      </w:tcPr>
    </w:tblStylePr>
    <w:tblStylePr w:type="firstCol">
      <w:pPr>
        <w:jc w:val="right"/>
      </w:pPr>
      <w:rPr>
        <w:i/>
        <w:color w:val="F2AA85" w:themeColor="accent2" w:themeTint="97" w:themeShade="95"/>
        <w:sz w:val="22"/>
      </w:rPr>
      <w:tblPr/>
      <w:tcPr>
        <w:tcBorders>
          <w:top w:val="none" w:sz="0" w:space="0" w:color="auto"/>
          <w:left w:val="none" w:sz="0" w:space="0" w:color="auto"/>
          <w:bottom w:val="none" w:sz="0" w:space="0" w:color="auto"/>
          <w:right w:val="single" w:sz="4" w:space="0" w:color="E97132" w:themeColor="accent2"/>
        </w:tcBorders>
        <w:shd w:val="clear" w:color="FFFFFF" w:fill="auto"/>
      </w:tcPr>
    </w:tblStylePr>
    <w:tblStylePr w:type="lastCol">
      <w:rPr>
        <w:i/>
        <w:color w:val="F2AA85" w:themeColor="accent2" w:themeTint="97" w:themeShade="95"/>
        <w:sz w:val="22"/>
      </w:rPr>
      <w:tblPr/>
      <w:tcPr>
        <w:tcBorders>
          <w:top w:val="none" w:sz="0" w:space="0" w:color="auto"/>
          <w:left w:val="single" w:sz="4" w:space="0" w:color="E97132" w:themeColor="accent2"/>
          <w:bottom w:val="none" w:sz="0" w:space="0" w:color="auto"/>
          <w:right w:val="none" w:sz="0" w:space="0" w:color="auto"/>
        </w:tcBorders>
        <w:shd w:val="clear" w:color="FFFFFF" w:fill="auto"/>
      </w:tcPr>
    </w:tblStylePr>
    <w:tblStylePr w:type="band1Vert">
      <w:tblPr/>
      <w:tcPr>
        <w:shd w:val="clear" w:color="FAE2D6" w:fill="FAE2D6" w:themeFill="accent2" w:themeFillTint="32"/>
      </w:tcPr>
    </w:tblStylePr>
    <w:tblStylePr w:type="band1Horz">
      <w:rPr>
        <w:color w:val="F2AA85" w:themeColor="accent2" w:themeTint="97" w:themeShade="95"/>
        <w:sz w:val="22"/>
      </w:rPr>
      <w:tblPr/>
      <w:tcPr>
        <w:shd w:val="clear" w:color="FAE2D6" w:fill="FAE2D6" w:themeFill="accent2" w:themeFillTint="32"/>
      </w:tcPr>
    </w:tblStylePr>
    <w:tblStylePr w:type="band2Horz">
      <w:rPr>
        <w:color w:val="F2AA85" w:themeColor="accent2" w:themeTint="97" w:themeShade="95"/>
        <w:sz w:val="22"/>
      </w:rPr>
    </w:tblStylePr>
  </w:style>
  <w:style w:type="table" w:styleId="GridTable7Colorful-Accent3">
    <w:name w:val="Grid Table 7 Colorful Accent 3"/>
    <w:basedOn w:val="TableNormal"/>
    <w:uiPriority w:val="99"/>
    <w:tblPr>
      <w:tblStyleRowBandSize w:val="1"/>
      <w:tblStyleColBandSize w:val="1"/>
      <w:tblBorders>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sz w:val="22"/>
      </w:rPr>
      <w:tblPr/>
      <w:tcPr>
        <w:tcBorders>
          <w:top w:val="none" w:sz="0" w:space="0" w:color="auto"/>
          <w:left w:val="none" w:sz="0" w:space="0" w:color="auto"/>
          <w:bottom w:val="single" w:sz="4" w:space="0" w:color="196B24" w:themeColor="accent3"/>
          <w:right w:val="none" w:sz="0" w:space="0" w:color="auto"/>
        </w:tcBorders>
        <w:shd w:val="clear" w:color="FFFFFF" w:fill="FFFFFF" w:themeFill="light1"/>
      </w:tcPr>
    </w:tblStylePr>
    <w:tblStylePr w:type="lastRow">
      <w:rPr>
        <w:b/>
        <w:color w:val="196C24" w:themeColor="accent3" w:themeTint="FE" w:themeShade="95"/>
        <w:sz w:val="22"/>
      </w:rPr>
      <w:tblPr/>
      <w:tcPr>
        <w:tcBorders>
          <w:top w:val="single" w:sz="4" w:space="0" w:color="196B24" w:themeColor="accent3"/>
          <w:left w:val="none" w:sz="0" w:space="0" w:color="auto"/>
          <w:bottom w:val="none" w:sz="0" w:space="0" w:color="auto"/>
          <w:right w:val="none" w:sz="0" w:space="0" w:color="auto"/>
        </w:tcBorders>
        <w:shd w:val="clear" w:color="FFFFFF" w:fill="FFFFFF" w:themeFill="light1"/>
      </w:tcPr>
    </w:tblStylePr>
    <w:tblStylePr w:type="firstCol">
      <w:pPr>
        <w:jc w:val="right"/>
      </w:pPr>
      <w:rPr>
        <w:i/>
        <w:color w:val="196C24" w:themeColor="accent3" w:themeTint="FE" w:themeShade="95"/>
        <w:sz w:val="22"/>
      </w:rPr>
      <w:tblPr/>
      <w:tcPr>
        <w:tcBorders>
          <w:top w:val="none" w:sz="0" w:space="0" w:color="auto"/>
          <w:left w:val="none" w:sz="0" w:space="0" w:color="auto"/>
          <w:bottom w:val="none" w:sz="0" w:space="0" w:color="auto"/>
          <w:right w:val="single" w:sz="4" w:space="0" w:color="196B24" w:themeColor="accent3"/>
        </w:tcBorders>
        <w:shd w:val="clear" w:color="FFFFFF" w:fill="auto"/>
      </w:tcPr>
    </w:tblStylePr>
    <w:tblStylePr w:type="lastCol">
      <w:rPr>
        <w:i/>
        <w:color w:val="196C24" w:themeColor="accent3" w:themeTint="FE" w:themeShade="95"/>
        <w:sz w:val="22"/>
      </w:rPr>
      <w:tblPr/>
      <w:tcPr>
        <w:tcBorders>
          <w:top w:val="none" w:sz="0" w:space="0" w:color="auto"/>
          <w:left w:val="single" w:sz="4" w:space="0" w:color="196B24" w:themeColor="accent3"/>
          <w:bottom w:val="none" w:sz="0" w:space="0" w:color="auto"/>
          <w:right w:val="none" w:sz="0" w:space="0" w:color="auto"/>
        </w:tcBorders>
        <w:shd w:val="clear" w:color="FFFFFF" w:fill="auto"/>
      </w:tcPr>
    </w:tblStylePr>
    <w:tblStylePr w:type="band1Vert">
      <w:tblPr/>
      <w:tcPr>
        <w:shd w:val="clear" w:color="C0F0C6" w:fill="C0F0C6" w:themeFill="accent3" w:themeFillTint="34"/>
      </w:tcPr>
    </w:tblStylePr>
    <w:tblStylePr w:type="band1Horz">
      <w:rPr>
        <w:color w:val="196C24" w:themeColor="accent3" w:themeTint="FE" w:themeShade="95"/>
        <w:sz w:val="22"/>
      </w:rPr>
      <w:tblPr/>
      <w:tcPr>
        <w:shd w:val="clear" w:color="C0F0C6" w:fill="C0F0C6" w:themeFill="accent3" w:themeFillTint="34"/>
      </w:tcPr>
    </w:tblStylePr>
    <w:tblStylePr w:type="band2Horz">
      <w:rPr>
        <w:color w:val="196C24" w:themeColor="accent3" w:themeTint="FE" w:themeShade="95"/>
        <w:sz w:val="22"/>
      </w:rPr>
    </w:tblStylePr>
  </w:style>
  <w:style w:type="table" w:styleId="GridTable7Colorful-Accent4">
    <w:name w:val="Grid Table 7 Colorful Accent 4"/>
    <w:basedOn w:val="TableNormal"/>
    <w:uiPriority w:val="99"/>
    <w:tblPr>
      <w:tblStyleRowBandSize w:val="1"/>
      <w:tblStyleColBandSize w:val="1"/>
      <w:tblBorders>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sz w:val="22"/>
      </w:rPr>
      <w:tblPr/>
      <w:tcPr>
        <w:tcBorders>
          <w:top w:val="none" w:sz="0" w:space="0" w:color="auto"/>
          <w:left w:val="none" w:sz="0" w:space="0" w:color="auto"/>
          <w:bottom w:val="single" w:sz="4" w:space="0" w:color="0F9ED5" w:themeColor="accent4"/>
          <w:right w:val="none" w:sz="0" w:space="0" w:color="auto"/>
        </w:tcBorders>
        <w:shd w:val="clear" w:color="FFFFFF" w:fill="FFFFFF" w:themeFill="light1"/>
      </w:tcPr>
    </w:tblStylePr>
    <w:tblStylePr w:type="lastRow">
      <w:rPr>
        <w:b/>
        <w:color w:val="5FCAF3" w:themeColor="accent4" w:themeTint="9A" w:themeShade="95"/>
        <w:sz w:val="22"/>
      </w:rPr>
      <w:tblPr/>
      <w:tcPr>
        <w:tcBorders>
          <w:top w:val="single" w:sz="4" w:space="0" w:color="0F9ED5" w:themeColor="accent4"/>
          <w:left w:val="none" w:sz="0" w:space="0" w:color="auto"/>
          <w:bottom w:val="none" w:sz="0" w:space="0" w:color="auto"/>
          <w:right w:val="none" w:sz="0" w:space="0" w:color="auto"/>
        </w:tcBorders>
        <w:shd w:val="clear" w:color="FFFFFF" w:fill="FFFFFF" w:themeFill="light1"/>
      </w:tcPr>
    </w:tblStylePr>
    <w:tblStylePr w:type="firstCol">
      <w:pPr>
        <w:jc w:val="right"/>
      </w:pPr>
      <w:rPr>
        <w:i/>
        <w:color w:val="5FCAF3" w:themeColor="accent4" w:themeTint="9A" w:themeShade="95"/>
        <w:sz w:val="22"/>
      </w:rPr>
      <w:tblPr/>
      <w:tcPr>
        <w:tcBorders>
          <w:top w:val="none" w:sz="0" w:space="0" w:color="auto"/>
          <w:left w:val="none" w:sz="0" w:space="0" w:color="auto"/>
          <w:bottom w:val="none" w:sz="0" w:space="0" w:color="auto"/>
          <w:right w:val="single" w:sz="4" w:space="0" w:color="0F9ED5" w:themeColor="accent4"/>
        </w:tcBorders>
        <w:shd w:val="clear" w:color="FFFFFF" w:fill="auto"/>
      </w:tcPr>
    </w:tblStylePr>
    <w:tblStylePr w:type="lastCol">
      <w:rPr>
        <w:i/>
        <w:color w:val="5FCAF3" w:themeColor="accent4" w:themeTint="9A" w:themeShade="95"/>
        <w:sz w:val="22"/>
      </w:rPr>
      <w:tblPr/>
      <w:tcPr>
        <w:tcBorders>
          <w:top w:val="none" w:sz="0" w:space="0" w:color="auto"/>
          <w:left w:val="single" w:sz="4" w:space="0" w:color="0F9ED5" w:themeColor="accent4"/>
          <w:bottom w:val="none" w:sz="0" w:space="0" w:color="auto"/>
          <w:right w:val="none" w:sz="0" w:space="0" w:color="auto"/>
        </w:tcBorders>
        <w:shd w:val="clear" w:color="FFFFFF" w:fill="auto"/>
      </w:tcPr>
    </w:tblStylePr>
    <w:tblStylePr w:type="band1Vert">
      <w:tblPr/>
      <w:tcPr>
        <w:shd w:val="clear" w:color="C9EDFB" w:fill="C9EDFB" w:themeFill="accent4" w:themeFillTint="34"/>
      </w:tcPr>
    </w:tblStylePr>
    <w:tblStylePr w:type="band1Horz">
      <w:rPr>
        <w:color w:val="5FCAF3" w:themeColor="accent4" w:themeTint="9A" w:themeShade="95"/>
        <w:sz w:val="22"/>
      </w:rPr>
      <w:tblPr/>
      <w:tcPr>
        <w:shd w:val="clear" w:color="C9EDFB" w:fill="C9EDFB" w:themeFill="accent4" w:themeFillTint="34"/>
      </w:tcPr>
    </w:tblStylePr>
    <w:tblStylePr w:type="band2Horz">
      <w:rPr>
        <w:color w:val="5FCAF3" w:themeColor="accent4" w:themeTint="9A" w:themeShade="95"/>
        <w:sz w:val="22"/>
      </w:rPr>
    </w:tblStylePr>
  </w:style>
  <w:style w:type="table" w:styleId="GridTable7Colorful-Accent5">
    <w:name w:val="Grid Table 7 Colorful Accent 5"/>
    <w:basedOn w:val="TableNormal"/>
    <w:uiPriority w:val="99"/>
    <w:tblPr>
      <w:tblStyleRowBandSize w:val="1"/>
      <w:tblStyleColBandSize w:val="1"/>
      <w:tblBorders>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b/>
        <w:color w:val="5D1955" w:themeColor="accent5" w:themeShade="95"/>
        <w:sz w:val="22"/>
      </w:rPr>
      <w:tblPr/>
      <w:tcPr>
        <w:tcBorders>
          <w:top w:val="none" w:sz="0" w:space="0" w:color="auto"/>
          <w:left w:val="none" w:sz="0" w:space="0" w:color="auto"/>
          <w:bottom w:val="single" w:sz="4" w:space="0" w:color="A02B93" w:themeColor="accent5"/>
          <w:right w:val="none" w:sz="0" w:space="0" w:color="auto"/>
        </w:tcBorders>
        <w:shd w:val="clear" w:color="FFFFFF" w:fill="FFFFFF" w:themeFill="light1"/>
      </w:tcPr>
    </w:tblStylePr>
    <w:tblStylePr w:type="lastRow">
      <w:rPr>
        <w:b/>
        <w:color w:val="5D1955" w:themeColor="accent5" w:themeShade="95"/>
        <w:sz w:val="22"/>
      </w:rPr>
      <w:tblPr/>
      <w:tcPr>
        <w:tcBorders>
          <w:top w:val="single" w:sz="4" w:space="0" w:color="A02B93" w:themeColor="accent5"/>
          <w:left w:val="none" w:sz="0" w:space="0" w:color="auto"/>
          <w:bottom w:val="none" w:sz="0" w:space="0" w:color="auto"/>
          <w:right w:val="none" w:sz="0" w:space="0" w:color="auto"/>
        </w:tcBorders>
        <w:shd w:val="clear" w:color="FFFFFF" w:fill="FFFFFF" w:themeFill="light1"/>
      </w:tcPr>
    </w:tblStylePr>
    <w:tblStylePr w:type="firstCol">
      <w:pPr>
        <w:jc w:val="right"/>
      </w:pPr>
      <w:rPr>
        <w:i/>
        <w:color w:val="5D1955" w:themeColor="accent5" w:themeShade="95"/>
        <w:sz w:val="22"/>
      </w:rPr>
      <w:tblPr/>
      <w:tcPr>
        <w:tcBorders>
          <w:top w:val="none" w:sz="0" w:space="0" w:color="auto"/>
          <w:left w:val="none" w:sz="0" w:space="0" w:color="auto"/>
          <w:bottom w:val="none" w:sz="0" w:space="0" w:color="auto"/>
          <w:right w:val="single" w:sz="4" w:space="0" w:color="A02B93" w:themeColor="accent5"/>
        </w:tcBorders>
        <w:shd w:val="clear" w:color="FFFFFF" w:fill="auto"/>
      </w:tcPr>
    </w:tblStylePr>
    <w:tblStylePr w:type="lastCol">
      <w:rPr>
        <w:i/>
        <w:color w:val="5D1955" w:themeColor="accent5" w:themeShade="95"/>
        <w:sz w:val="22"/>
      </w:rPr>
      <w:tblPr/>
      <w:tcPr>
        <w:tcBorders>
          <w:top w:val="none" w:sz="0" w:space="0" w:color="auto"/>
          <w:left w:val="single" w:sz="4" w:space="0" w:color="A02B93" w:themeColor="accent5"/>
          <w:bottom w:val="none" w:sz="0" w:space="0" w:color="auto"/>
          <w:right w:val="none" w:sz="0" w:space="0" w:color="auto"/>
        </w:tcBorders>
        <w:shd w:val="clear" w:color="FFFFFF" w:fill="auto"/>
      </w:tcPr>
    </w:tblStylePr>
    <w:tblStylePr w:type="band1Vert">
      <w:tblPr/>
      <w:tcPr>
        <w:shd w:val="clear" w:color="F1CDED" w:fill="F1CDED" w:themeFill="accent5" w:themeFillTint="34"/>
      </w:tcPr>
    </w:tblStylePr>
    <w:tblStylePr w:type="band1Horz">
      <w:rPr>
        <w:color w:val="5D1955" w:themeColor="accent5" w:themeShade="95"/>
        <w:sz w:val="22"/>
      </w:rPr>
      <w:tblPr/>
      <w:tcPr>
        <w:shd w:val="clear" w:color="F1CDED" w:fill="F1CDED" w:themeFill="accent5" w:themeFillTint="34"/>
      </w:tcPr>
    </w:tblStylePr>
    <w:tblStylePr w:type="band2Horz">
      <w:rPr>
        <w:color w:val="5D1955" w:themeColor="accent5" w:themeShade="95"/>
        <w:sz w:val="22"/>
      </w:rPr>
    </w:tblStylePr>
  </w:style>
  <w:style w:type="table" w:styleId="GridTable7Colorful-Accent6">
    <w:name w:val="Grid Table 7 Colorful Accent 6"/>
    <w:basedOn w:val="TableNormal"/>
    <w:uiPriority w:val="99"/>
    <w:tblPr>
      <w:tblStyleRowBandSize w:val="1"/>
      <w:tblStyleColBandSize w:val="1"/>
      <w:tblBorders>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b/>
        <w:color w:val="2D611B" w:themeColor="accent6" w:themeShade="95"/>
        <w:sz w:val="22"/>
      </w:rPr>
      <w:tblPr/>
      <w:tcPr>
        <w:tcBorders>
          <w:top w:val="none" w:sz="0" w:space="0" w:color="auto"/>
          <w:left w:val="none" w:sz="0" w:space="0" w:color="auto"/>
          <w:bottom w:val="single" w:sz="4" w:space="0" w:color="4EA72E" w:themeColor="accent6"/>
          <w:right w:val="none" w:sz="0" w:space="0" w:color="auto"/>
        </w:tcBorders>
        <w:shd w:val="clear" w:color="FFFFFF" w:fill="FFFFFF" w:themeFill="light1"/>
      </w:tcPr>
    </w:tblStylePr>
    <w:tblStylePr w:type="lastRow">
      <w:rPr>
        <w:b/>
        <w:color w:val="2D611B" w:themeColor="accent6" w:themeShade="95"/>
        <w:sz w:val="22"/>
      </w:rPr>
      <w:tblPr/>
      <w:tcPr>
        <w:tcBorders>
          <w:top w:val="single" w:sz="4" w:space="0" w:color="4EA72E" w:themeColor="accent6"/>
          <w:left w:val="none" w:sz="0" w:space="0" w:color="auto"/>
          <w:bottom w:val="none" w:sz="0" w:space="0" w:color="auto"/>
          <w:right w:val="none" w:sz="0" w:space="0" w:color="auto"/>
        </w:tcBorders>
        <w:shd w:val="clear" w:color="FFFFFF" w:fill="FFFFFF" w:themeFill="light1"/>
      </w:tcPr>
    </w:tblStylePr>
    <w:tblStylePr w:type="firstCol">
      <w:pPr>
        <w:jc w:val="right"/>
      </w:pPr>
      <w:rPr>
        <w:i/>
        <w:color w:val="2D611B" w:themeColor="accent6" w:themeShade="95"/>
        <w:sz w:val="22"/>
      </w:rPr>
      <w:tblPr/>
      <w:tcPr>
        <w:tcBorders>
          <w:top w:val="none" w:sz="0" w:space="0" w:color="auto"/>
          <w:left w:val="none" w:sz="0" w:space="0" w:color="auto"/>
          <w:bottom w:val="none" w:sz="0" w:space="0" w:color="auto"/>
          <w:right w:val="single" w:sz="4" w:space="0" w:color="4EA72E" w:themeColor="accent6"/>
        </w:tcBorders>
        <w:shd w:val="clear" w:color="FFFFFF" w:fill="auto"/>
      </w:tcPr>
    </w:tblStylePr>
    <w:tblStylePr w:type="lastCol">
      <w:rPr>
        <w:i/>
        <w:color w:val="2D611B" w:themeColor="accent6" w:themeShade="95"/>
        <w:sz w:val="22"/>
      </w:rPr>
      <w:tblPr/>
      <w:tcPr>
        <w:tcBorders>
          <w:top w:val="none" w:sz="0" w:space="0" w:color="auto"/>
          <w:left w:val="single" w:sz="4" w:space="0" w:color="4EA72E" w:themeColor="accent6"/>
          <w:bottom w:val="none" w:sz="0" w:space="0" w:color="auto"/>
          <w:right w:val="none" w:sz="0" w:space="0" w:color="auto"/>
        </w:tcBorders>
        <w:shd w:val="clear" w:color="FFFFFF" w:fill="auto"/>
      </w:tcPr>
    </w:tblStylePr>
    <w:tblStylePr w:type="band1Vert">
      <w:tblPr/>
      <w:tcPr>
        <w:shd w:val="clear" w:color="D8F2CF" w:fill="D8F2CF" w:themeFill="accent6" w:themeFillTint="34"/>
      </w:tcPr>
    </w:tblStylePr>
    <w:tblStylePr w:type="band1Horz">
      <w:rPr>
        <w:color w:val="2D611B" w:themeColor="accent6" w:themeShade="95"/>
        <w:sz w:val="22"/>
      </w:rPr>
      <w:tblPr/>
      <w:tcPr>
        <w:shd w:val="clear" w:color="D8F2CF" w:fill="D8F2CF" w:themeFill="accent6" w:themeFillTint="34"/>
      </w:tcPr>
    </w:tblStylePr>
    <w:tblStylePr w:type="band2Horz">
      <w:rPr>
        <w:color w:val="2D611B" w:themeColor="accent6" w:themeShade="95"/>
        <w:sz w:val="22"/>
      </w:rPr>
    </w:tblStylePr>
  </w:style>
  <w:style w:type="table" w:styleId="ListTable1Light">
    <w:name w:val="List Table 1 Light"/>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000000" w:themeColor="text1"/>
          <w:right w:val="none" w:sz="4" w:space="0" w:color="000000"/>
        </w:tcBorders>
      </w:tcPr>
    </w:tblStylePr>
    <w:tblStylePr w:type="lastRow">
      <w:rPr>
        <w:b/>
      </w:rPr>
      <w:tblPr/>
      <w:tcPr>
        <w:tcBorders>
          <w:top w:val="single" w:sz="4" w:space="0" w:color="000000" w:themeColor="tex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FBFBF" w:fill="BFBFBF" w:themeFill="text1" w:themeFillTint="40"/>
      </w:tcPr>
    </w:tblStylePr>
    <w:tblStylePr w:type="band1Horz">
      <w:tblPr/>
      <w:tcPr>
        <w:shd w:val="clear" w:color="BFBFBF" w:fill="BFBFBF" w:themeFill="text1" w:themeFillTint="40"/>
      </w:tcPr>
    </w:tblStylePr>
  </w:style>
  <w:style w:type="table" w:styleId="ListTable1Light-Accent1">
    <w:name w:val="List Table 1 Light Accent 1"/>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156082" w:themeColor="accent1"/>
          <w:right w:val="none" w:sz="4" w:space="0" w:color="000000"/>
        </w:tcBorders>
      </w:tcPr>
    </w:tblStylePr>
    <w:tblStylePr w:type="lastRow">
      <w:rPr>
        <w:b/>
      </w:rPr>
      <w:tblPr/>
      <w:tcPr>
        <w:tcBorders>
          <w:top w:val="single" w:sz="4" w:space="0" w:color="156082" w:themeColor="accen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1DEF2" w:fill="B1DEF2" w:themeFill="accent1" w:themeFillTint="40"/>
      </w:tcPr>
    </w:tblStylePr>
    <w:tblStylePr w:type="band1Horz">
      <w:tblPr/>
      <w:tcPr>
        <w:shd w:val="clear" w:color="B1DEF2" w:fill="B1DEF2" w:themeFill="accent1" w:themeFillTint="40"/>
      </w:tcPr>
    </w:tblStylePr>
  </w:style>
  <w:style w:type="table" w:styleId="ListTable1Light-Accent2">
    <w:name w:val="List Table 1 Light Accent 2"/>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E97132" w:themeColor="accent2"/>
          <w:right w:val="none" w:sz="4" w:space="0" w:color="000000"/>
        </w:tcBorders>
      </w:tcPr>
    </w:tblStylePr>
    <w:tblStylePr w:type="lastRow">
      <w:rPr>
        <w:b/>
      </w:rPr>
      <w:tblPr/>
      <w:tcPr>
        <w:tcBorders>
          <w:top w:val="single" w:sz="4" w:space="0" w:color="E97132" w:themeColor="accent2"/>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9DBCB" w:fill="F9DBCB" w:themeFill="accent2" w:themeFillTint="40"/>
      </w:tcPr>
    </w:tblStylePr>
    <w:tblStylePr w:type="band1Horz">
      <w:tblPr/>
      <w:tcPr>
        <w:shd w:val="clear" w:color="F9DBCB" w:fill="F9DBCB" w:themeFill="accent2" w:themeFillTint="40"/>
      </w:tcPr>
    </w:tblStylePr>
  </w:style>
  <w:style w:type="table" w:styleId="ListTable1Light-Accent3">
    <w:name w:val="List Table 1 Light Accent 3"/>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196B24" w:themeColor="accent3"/>
          <w:right w:val="none" w:sz="4" w:space="0" w:color="000000"/>
        </w:tcBorders>
      </w:tcPr>
    </w:tblStylePr>
    <w:tblStylePr w:type="lastRow">
      <w:rPr>
        <w:b/>
      </w:rPr>
      <w:tblPr/>
      <w:tcPr>
        <w:tcBorders>
          <w:top w:val="single" w:sz="4" w:space="0" w:color="196B24" w:themeColor="accent3"/>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2EDB9" w:fill="B2EDB9" w:themeFill="accent3" w:themeFillTint="40"/>
      </w:tcPr>
    </w:tblStylePr>
    <w:tblStylePr w:type="band1Horz">
      <w:tblPr/>
      <w:tcPr>
        <w:shd w:val="clear" w:color="B2EDB9" w:fill="B2EDB9" w:themeFill="accent3" w:themeFillTint="40"/>
      </w:tcPr>
    </w:tblStylePr>
  </w:style>
  <w:style w:type="table" w:styleId="ListTable1Light-Accent4">
    <w:name w:val="List Table 1 Light Accent 4"/>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0F9ED5" w:themeColor="accent4"/>
          <w:right w:val="none" w:sz="4" w:space="0" w:color="000000"/>
        </w:tcBorders>
      </w:tcPr>
    </w:tblStylePr>
    <w:tblStylePr w:type="lastRow">
      <w:rPr>
        <w:b/>
      </w:rPr>
      <w:tblPr/>
      <w:tcPr>
        <w:tcBorders>
          <w:top w:val="single" w:sz="4" w:space="0" w:color="0F9ED5" w:themeColor="accent4"/>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CE9FA" w:fill="BCE9FA" w:themeFill="accent4" w:themeFillTint="40"/>
      </w:tcPr>
    </w:tblStylePr>
    <w:tblStylePr w:type="band1Horz">
      <w:tblPr/>
      <w:tcPr>
        <w:shd w:val="clear" w:color="BCE9FA" w:fill="BCE9FA" w:themeFill="accent4" w:themeFillTint="40"/>
      </w:tcPr>
    </w:tblStylePr>
  </w:style>
  <w:style w:type="table" w:styleId="ListTable1Light-Accent5">
    <w:name w:val="List Table 1 Light Accent 5"/>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A02B93" w:themeColor="accent5"/>
          <w:right w:val="none" w:sz="4" w:space="0" w:color="000000"/>
        </w:tcBorders>
      </w:tcPr>
    </w:tblStylePr>
    <w:tblStylePr w:type="lastRow">
      <w:rPr>
        <w:b/>
      </w:rPr>
      <w:tblPr/>
      <w:tcPr>
        <w:tcBorders>
          <w:top w:val="single" w:sz="4" w:space="0" w:color="A02B93" w:themeColor="accent5"/>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EEC2E9" w:fill="EEC2E9" w:themeFill="accent5" w:themeFillTint="40"/>
      </w:tcPr>
    </w:tblStylePr>
    <w:tblStylePr w:type="band1Horz">
      <w:tblPr/>
      <w:tcPr>
        <w:shd w:val="clear" w:color="EEC2E9" w:fill="EEC2E9" w:themeFill="accent5" w:themeFillTint="40"/>
      </w:tcPr>
    </w:tblStylePr>
  </w:style>
  <w:style w:type="table" w:styleId="ListTable1Light-Accent6">
    <w:name w:val="List Table 1 Light Accent 6"/>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4EA72E" w:themeColor="accent6"/>
          <w:right w:val="none" w:sz="4" w:space="0" w:color="000000"/>
        </w:tcBorders>
      </w:tcPr>
    </w:tblStylePr>
    <w:tblStylePr w:type="lastRow">
      <w:rPr>
        <w:b/>
      </w:rPr>
      <w:tblPr/>
      <w:tcPr>
        <w:tcBorders>
          <w:top w:val="single" w:sz="4" w:space="0" w:color="4EA72E" w:themeColor="accent6"/>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CFEFC4" w:fill="CFEFC4" w:themeFill="accent6" w:themeFillTint="40"/>
      </w:tcPr>
    </w:tblStylePr>
    <w:tblStylePr w:type="band1Horz">
      <w:tblPr/>
      <w:tcPr>
        <w:shd w:val="clear" w:color="CFEFC4" w:fill="CFEFC4" w:themeFill="accent6"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la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firstCol">
      <w:rPr>
        <w:b/>
        <w:sz w:val="22"/>
      </w:rPr>
    </w:tblStylePr>
    <w:tblStylePr w:type="lastCol">
      <w:rPr>
        <w:b/>
        <w:sz w:val="22"/>
      </w:r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styleId="ListTable2-Accent1">
    <w:name w:val="List Table 2 Accent 1"/>
    <w:basedOn w:val="TableNormal"/>
    <w:uiPriority w:val="99"/>
    <w:tblPr>
      <w:tblStyleRowBandSize w:val="1"/>
      <w:tblStyleColBandSize w:val="1"/>
      <w:tblBorders>
        <w:top w:val="single" w:sz="4" w:space="0" w:color="50B4E2" w:themeColor="accent1" w:themeTint="90"/>
        <w:bottom w:val="single" w:sz="4" w:space="0" w:color="50B4E2" w:themeColor="accent1" w:themeTint="90"/>
        <w:insideH w:val="single" w:sz="4" w:space="0" w:color="50B4E2" w:themeColor="accent1" w:themeTint="90"/>
      </w:tblBorders>
    </w:tblPr>
    <w:tblStylePr w:type="firstRow">
      <w:rPr>
        <w:b/>
        <w:sz w:val="22"/>
      </w:rPr>
      <w:tblPr/>
      <w:tcPr>
        <w:tcBorders>
          <w:top w:val="single" w:sz="4" w:space="0" w:color="156082" w:themeColor="accent1"/>
          <w:left w:val="none" w:sz="4" w:space="0" w:color="000000"/>
          <w:bottom w:val="single" w:sz="4" w:space="0" w:color="156082" w:themeColor="accent1"/>
          <w:right w:val="none" w:sz="4" w:space="0" w:color="000000"/>
        </w:tcBorders>
      </w:tcPr>
    </w:tblStylePr>
    <w:tblStylePr w:type="lastRow">
      <w:rPr>
        <w:b/>
        <w:sz w:val="22"/>
      </w:rPr>
      <w:tblPr/>
      <w:tcPr>
        <w:tcBorders>
          <w:top w:val="single" w:sz="4" w:space="0" w:color="156082" w:themeColor="accent1"/>
          <w:left w:val="none" w:sz="4" w:space="0" w:color="000000"/>
          <w:bottom w:val="single" w:sz="4" w:space="0" w:color="156082" w:themeColor="accent1"/>
          <w:right w:val="none" w:sz="4" w:space="0" w:color="000000"/>
        </w:tcBorders>
      </w:tcPr>
    </w:tblStylePr>
    <w:tblStylePr w:type="firstCol">
      <w:rPr>
        <w:b/>
        <w:sz w:val="22"/>
      </w:rPr>
    </w:tblStylePr>
    <w:tblStylePr w:type="lastCol">
      <w:rPr>
        <w:b/>
        <w:sz w:val="22"/>
      </w:rPr>
    </w:tblStylePr>
    <w:tblStylePr w:type="band1Vert">
      <w:rPr>
        <w:sz w:val="22"/>
      </w:rPr>
      <w:tblPr/>
      <w:tcPr>
        <w:shd w:val="clear" w:color="B1DEF2" w:fill="B1DEF2" w:themeFill="accent1" w:themeFillTint="40"/>
      </w:tcPr>
    </w:tblStylePr>
    <w:tblStylePr w:type="band1Horz">
      <w:rPr>
        <w:sz w:val="22"/>
      </w:rPr>
      <w:tblPr/>
      <w:tcPr>
        <w:shd w:val="clear" w:color="B1DEF2" w:fill="B1DEF2" w:themeFill="accent1" w:themeFillTint="40"/>
      </w:tcPr>
    </w:tblStylePr>
  </w:style>
  <w:style w:type="table" w:styleId="ListTable2-Accent2">
    <w:name w:val="List Table 2 Accent 2"/>
    <w:basedOn w:val="TableNormal"/>
    <w:uiPriority w:val="99"/>
    <w:tblPr>
      <w:tblStyleRowBandSize w:val="1"/>
      <w:tblStyleColBandSize w:val="1"/>
      <w:tblBorders>
        <w:top w:val="single" w:sz="4" w:space="0" w:color="F2AE8B" w:themeColor="accent2" w:themeTint="90"/>
        <w:bottom w:val="single" w:sz="4" w:space="0" w:color="F2AE8B" w:themeColor="accent2" w:themeTint="90"/>
        <w:insideH w:val="single" w:sz="4" w:space="0" w:color="F2AE8B" w:themeColor="accent2" w:themeTint="90"/>
      </w:tblBorders>
    </w:tblPr>
    <w:tblStylePr w:type="firstRow">
      <w:rPr>
        <w:b/>
        <w:sz w:val="22"/>
      </w:rPr>
      <w:tblPr/>
      <w:tcPr>
        <w:tcBorders>
          <w:top w:val="single" w:sz="4" w:space="0" w:color="E97132" w:themeColor="accent2"/>
          <w:left w:val="none" w:sz="4" w:space="0" w:color="000000"/>
          <w:bottom w:val="single" w:sz="4" w:space="0" w:color="E97132" w:themeColor="accent2"/>
          <w:right w:val="none" w:sz="4" w:space="0" w:color="000000"/>
        </w:tcBorders>
      </w:tcPr>
    </w:tblStylePr>
    <w:tblStylePr w:type="lastRow">
      <w:rPr>
        <w:b/>
        <w:sz w:val="22"/>
      </w:rPr>
      <w:tblPr/>
      <w:tcPr>
        <w:tcBorders>
          <w:top w:val="single" w:sz="4" w:space="0" w:color="E97132" w:themeColor="accent2"/>
          <w:left w:val="none" w:sz="4" w:space="0" w:color="000000"/>
          <w:bottom w:val="single" w:sz="4" w:space="0" w:color="E97132" w:themeColor="accent2"/>
          <w:right w:val="none" w:sz="4" w:space="0" w:color="000000"/>
        </w:tcBorders>
      </w:tcPr>
    </w:tblStylePr>
    <w:tblStylePr w:type="firstCol">
      <w:rPr>
        <w:b/>
        <w:sz w:val="22"/>
      </w:rPr>
    </w:tblStylePr>
    <w:tblStylePr w:type="lastCol">
      <w:rPr>
        <w:b/>
        <w:sz w:val="22"/>
      </w:rPr>
    </w:tblStylePr>
    <w:tblStylePr w:type="band1Vert">
      <w:rPr>
        <w:sz w:val="22"/>
      </w:rPr>
      <w:tblPr/>
      <w:tcPr>
        <w:shd w:val="clear" w:color="F9DBCB" w:fill="F9DBCB" w:themeFill="accent2" w:themeFillTint="40"/>
      </w:tcPr>
    </w:tblStylePr>
    <w:tblStylePr w:type="band1Horz">
      <w:rPr>
        <w:sz w:val="22"/>
      </w:rPr>
      <w:tblPr/>
      <w:tcPr>
        <w:shd w:val="clear" w:color="F9DBCB" w:fill="F9DBCB" w:themeFill="accent2" w:themeFillTint="40"/>
      </w:tcPr>
    </w:tblStylePr>
  </w:style>
  <w:style w:type="table" w:styleId="ListTable2-Accent3">
    <w:name w:val="List Table 2 Accent 3"/>
    <w:basedOn w:val="TableNormal"/>
    <w:uiPriority w:val="99"/>
    <w:tblPr>
      <w:tblStyleRowBandSize w:val="1"/>
      <w:tblStyleColBandSize w:val="1"/>
      <w:tblBorders>
        <w:top w:val="single" w:sz="4" w:space="0" w:color="51D663" w:themeColor="accent3" w:themeTint="90"/>
        <w:bottom w:val="single" w:sz="4" w:space="0" w:color="51D663" w:themeColor="accent3" w:themeTint="90"/>
        <w:insideH w:val="single" w:sz="4" w:space="0" w:color="51D663" w:themeColor="accent3" w:themeTint="90"/>
      </w:tblBorders>
    </w:tblPr>
    <w:tblStylePr w:type="firstRow">
      <w:rPr>
        <w:b/>
        <w:sz w:val="22"/>
      </w:rPr>
      <w:tblPr/>
      <w:tcPr>
        <w:tcBorders>
          <w:top w:val="single" w:sz="4" w:space="0" w:color="196B24" w:themeColor="accent3"/>
          <w:left w:val="none" w:sz="4" w:space="0" w:color="000000"/>
          <w:bottom w:val="single" w:sz="4" w:space="0" w:color="196B24" w:themeColor="accent3"/>
          <w:right w:val="none" w:sz="4" w:space="0" w:color="000000"/>
        </w:tcBorders>
      </w:tcPr>
    </w:tblStylePr>
    <w:tblStylePr w:type="lastRow">
      <w:rPr>
        <w:b/>
        <w:sz w:val="22"/>
      </w:rPr>
      <w:tblPr/>
      <w:tcPr>
        <w:tcBorders>
          <w:top w:val="single" w:sz="4" w:space="0" w:color="196B24" w:themeColor="accent3"/>
          <w:left w:val="none" w:sz="4" w:space="0" w:color="000000"/>
          <w:bottom w:val="single" w:sz="4" w:space="0" w:color="196B24" w:themeColor="accent3"/>
          <w:right w:val="none" w:sz="4" w:space="0" w:color="000000"/>
        </w:tcBorders>
      </w:tcPr>
    </w:tblStylePr>
    <w:tblStylePr w:type="firstCol">
      <w:rPr>
        <w:b/>
        <w:sz w:val="22"/>
      </w:rPr>
    </w:tblStylePr>
    <w:tblStylePr w:type="lastCol">
      <w:rPr>
        <w:b/>
        <w:sz w:val="22"/>
      </w:rPr>
    </w:tblStylePr>
    <w:tblStylePr w:type="band1Vert">
      <w:rPr>
        <w:sz w:val="22"/>
      </w:rPr>
      <w:tblPr/>
      <w:tcPr>
        <w:shd w:val="clear" w:color="B2EDB9" w:fill="B2EDB9" w:themeFill="accent3" w:themeFillTint="40"/>
      </w:tcPr>
    </w:tblStylePr>
    <w:tblStylePr w:type="band1Horz">
      <w:rPr>
        <w:sz w:val="22"/>
      </w:rPr>
      <w:tblPr/>
      <w:tcPr>
        <w:shd w:val="clear" w:color="B2EDB9" w:fill="B2EDB9" w:themeFill="accent3" w:themeFillTint="40"/>
      </w:tcPr>
    </w:tblStylePr>
  </w:style>
  <w:style w:type="table" w:styleId="ListTable2-Accent4">
    <w:name w:val="List Table 2 Accent 4"/>
    <w:basedOn w:val="TableNormal"/>
    <w:uiPriority w:val="99"/>
    <w:tblPr>
      <w:tblStyleRowBandSize w:val="1"/>
      <w:tblStyleColBandSize w:val="1"/>
      <w:tblBorders>
        <w:top w:val="single" w:sz="4" w:space="0" w:color="6ACDF4" w:themeColor="accent4" w:themeTint="90"/>
        <w:bottom w:val="single" w:sz="4" w:space="0" w:color="6ACDF4" w:themeColor="accent4" w:themeTint="90"/>
        <w:insideH w:val="single" w:sz="4" w:space="0" w:color="6ACDF4" w:themeColor="accent4" w:themeTint="90"/>
      </w:tblBorders>
    </w:tblPr>
    <w:tblStylePr w:type="firstRow">
      <w:rPr>
        <w:b/>
        <w:sz w:val="22"/>
      </w:rPr>
      <w:tblPr/>
      <w:tcPr>
        <w:tcBorders>
          <w:top w:val="single" w:sz="4" w:space="0" w:color="0F9ED5" w:themeColor="accent4"/>
          <w:left w:val="none" w:sz="4" w:space="0" w:color="000000"/>
          <w:bottom w:val="single" w:sz="4" w:space="0" w:color="0F9ED5" w:themeColor="accent4"/>
          <w:right w:val="none" w:sz="4" w:space="0" w:color="000000"/>
        </w:tcBorders>
      </w:tcPr>
    </w:tblStylePr>
    <w:tblStylePr w:type="lastRow">
      <w:rPr>
        <w:b/>
        <w:sz w:val="22"/>
      </w:rPr>
      <w:tblPr/>
      <w:tcPr>
        <w:tcBorders>
          <w:top w:val="single" w:sz="4" w:space="0" w:color="0F9ED5" w:themeColor="accent4"/>
          <w:left w:val="none" w:sz="4" w:space="0" w:color="000000"/>
          <w:bottom w:val="single" w:sz="4" w:space="0" w:color="0F9ED5" w:themeColor="accent4"/>
          <w:right w:val="none" w:sz="4" w:space="0" w:color="000000"/>
        </w:tcBorders>
      </w:tcPr>
    </w:tblStylePr>
    <w:tblStylePr w:type="firstCol">
      <w:rPr>
        <w:b/>
        <w:sz w:val="22"/>
      </w:rPr>
    </w:tblStylePr>
    <w:tblStylePr w:type="lastCol">
      <w:rPr>
        <w:b/>
        <w:sz w:val="22"/>
      </w:rPr>
    </w:tblStylePr>
    <w:tblStylePr w:type="band1Vert">
      <w:rPr>
        <w:sz w:val="22"/>
      </w:rPr>
      <w:tblPr/>
      <w:tcPr>
        <w:shd w:val="clear" w:color="BCE9FA" w:fill="BCE9FA" w:themeFill="accent4" w:themeFillTint="40"/>
      </w:tcPr>
    </w:tblStylePr>
    <w:tblStylePr w:type="band1Horz">
      <w:rPr>
        <w:sz w:val="22"/>
      </w:rPr>
      <w:tblPr/>
      <w:tcPr>
        <w:shd w:val="clear" w:color="BCE9FA" w:fill="BCE9FA" w:themeFill="accent4" w:themeFillTint="40"/>
      </w:tcPr>
    </w:tblStylePr>
  </w:style>
  <w:style w:type="table" w:styleId="ListTable2-Accent5">
    <w:name w:val="List Table 2 Accent 5"/>
    <w:basedOn w:val="TableNormal"/>
    <w:uiPriority w:val="99"/>
    <w:tblPr>
      <w:tblStyleRowBandSize w:val="1"/>
      <w:tblStyleColBandSize w:val="1"/>
      <w:tblBorders>
        <w:top w:val="single" w:sz="4" w:space="0" w:color="DA76CE" w:themeColor="accent5" w:themeTint="90"/>
        <w:bottom w:val="single" w:sz="4" w:space="0" w:color="DA76CE" w:themeColor="accent5" w:themeTint="90"/>
        <w:insideH w:val="single" w:sz="4" w:space="0" w:color="DA76CE" w:themeColor="accent5" w:themeTint="90"/>
      </w:tblBorders>
    </w:tblPr>
    <w:tblStylePr w:type="firstRow">
      <w:rPr>
        <w:b/>
        <w:sz w:val="22"/>
      </w:rPr>
      <w:tblPr/>
      <w:tcPr>
        <w:tcBorders>
          <w:top w:val="single" w:sz="4" w:space="0" w:color="A02B93" w:themeColor="accent5"/>
          <w:left w:val="none" w:sz="4" w:space="0" w:color="000000"/>
          <w:bottom w:val="single" w:sz="4" w:space="0" w:color="A02B93" w:themeColor="accent5"/>
          <w:right w:val="none" w:sz="4" w:space="0" w:color="000000"/>
        </w:tcBorders>
      </w:tcPr>
    </w:tblStylePr>
    <w:tblStylePr w:type="lastRow">
      <w:rPr>
        <w:b/>
        <w:sz w:val="22"/>
      </w:rPr>
      <w:tblPr/>
      <w:tcPr>
        <w:tcBorders>
          <w:top w:val="single" w:sz="4" w:space="0" w:color="A02B93" w:themeColor="accent5"/>
          <w:left w:val="none" w:sz="4" w:space="0" w:color="000000"/>
          <w:bottom w:val="single" w:sz="4" w:space="0" w:color="A02B93" w:themeColor="accent5"/>
          <w:right w:val="none" w:sz="4" w:space="0" w:color="000000"/>
        </w:tcBorders>
      </w:tcPr>
    </w:tblStylePr>
    <w:tblStylePr w:type="firstCol">
      <w:rPr>
        <w:b/>
        <w:sz w:val="22"/>
      </w:rPr>
    </w:tblStylePr>
    <w:tblStylePr w:type="lastCol">
      <w:rPr>
        <w:b/>
        <w:sz w:val="22"/>
      </w:rPr>
    </w:tblStylePr>
    <w:tblStylePr w:type="band1Vert">
      <w:rPr>
        <w:sz w:val="22"/>
      </w:rPr>
      <w:tblPr/>
      <w:tcPr>
        <w:shd w:val="clear" w:color="EEC2E9" w:fill="EEC2E9" w:themeFill="accent5" w:themeFillTint="40"/>
      </w:tcPr>
    </w:tblStylePr>
    <w:tblStylePr w:type="band1Horz">
      <w:rPr>
        <w:sz w:val="22"/>
      </w:rPr>
      <w:tblPr/>
      <w:tcPr>
        <w:shd w:val="clear" w:color="EEC2E9" w:fill="EEC2E9" w:themeFill="accent5" w:themeFillTint="40"/>
      </w:tcPr>
    </w:tblStylePr>
  </w:style>
  <w:style w:type="table" w:styleId="ListTable2-Accent6">
    <w:name w:val="List Table 2 Accent 6"/>
    <w:basedOn w:val="TableNormal"/>
    <w:uiPriority w:val="99"/>
    <w:tblPr>
      <w:tblStyleRowBandSize w:val="1"/>
      <w:tblStyleColBandSize w:val="1"/>
      <w:tblBorders>
        <w:top w:val="single" w:sz="4" w:space="0" w:color="94DA7B" w:themeColor="accent6" w:themeTint="90"/>
        <w:bottom w:val="single" w:sz="4" w:space="0" w:color="94DA7B" w:themeColor="accent6" w:themeTint="90"/>
        <w:insideH w:val="single" w:sz="4" w:space="0" w:color="94DA7B" w:themeColor="accent6" w:themeTint="90"/>
      </w:tblBorders>
    </w:tblPr>
    <w:tblStylePr w:type="firstRow">
      <w:rPr>
        <w:b/>
        <w:sz w:val="22"/>
      </w:rPr>
      <w:tblPr/>
      <w:tcPr>
        <w:tcBorders>
          <w:top w:val="single" w:sz="4" w:space="0" w:color="4EA72E" w:themeColor="accent6"/>
          <w:left w:val="none" w:sz="4" w:space="0" w:color="000000"/>
          <w:bottom w:val="single" w:sz="4" w:space="0" w:color="4EA72E" w:themeColor="accent6"/>
          <w:right w:val="none" w:sz="4" w:space="0" w:color="000000"/>
        </w:tcBorders>
      </w:tcPr>
    </w:tblStylePr>
    <w:tblStylePr w:type="lastRow">
      <w:rPr>
        <w:b/>
        <w:sz w:val="22"/>
      </w:rPr>
      <w:tblPr/>
      <w:tcPr>
        <w:tcBorders>
          <w:top w:val="single" w:sz="4" w:space="0" w:color="4EA72E" w:themeColor="accent6"/>
          <w:left w:val="none" w:sz="4" w:space="0" w:color="000000"/>
          <w:bottom w:val="single" w:sz="4" w:space="0" w:color="4EA72E" w:themeColor="accent6"/>
          <w:right w:val="none" w:sz="4" w:space="0" w:color="000000"/>
        </w:tcBorders>
      </w:tcPr>
    </w:tblStylePr>
    <w:tblStylePr w:type="firstCol">
      <w:rPr>
        <w:b/>
        <w:sz w:val="22"/>
      </w:rPr>
    </w:tblStylePr>
    <w:tblStylePr w:type="lastCol">
      <w:rPr>
        <w:b/>
        <w:sz w:val="22"/>
      </w:rPr>
    </w:tblStylePr>
    <w:tblStylePr w:type="band1Vert">
      <w:rPr>
        <w:sz w:val="22"/>
      </w:rPr>
      <w:tblPr/>
      <w:tcPr>
        <w:shd w:val="clear" w:color="CFEFC4" w:fill="CFEFC4" w:themeFill="accent6" w:themeFillTint="40"/>
      </w:tcPr>
    </w:tblStylePr>
    <w:tblStylePr w:type="band1Horz">
      <w:rPr>
        <w:sz w:val="22"/>
      </w:rPr>
      <w:tblPr/>
      <w:tcPr>
        <w:shd w:val="clear" w:color="CFEFC4" w:fill="CFEFC4" w:themeFill="accent6"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sz w:val="22"/>
      </w:rPr>
      <w:tblPr/>
      <w:tcPr>
        <w:shd w:val="clear" w:color="000000" w:fill="000000" w:themeFill="tex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000000" w:themeColor="text1"/>
          <w:right w:val="single" w:sz="4" w:space="0" w:color="000000" w:themeColor="text1"/>
        </w:tcBorders>
      </w:tcPr>
    </w:tblStylePr>
    <w:tblStylePr w:type="band1Horz">
      <w:rPr>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sz w:val="22"/>
      </w:rPr>
      <w:tblPr/>
      <w:tcPr>
        <w:shd w:val="clear" w:color="156082" w:fill="156082" w:themeFill="accen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156082" w:themeColor="accent1"/>
          <w:right w:val="single" w:sz="4" w:space="0" w:color="156082" w:themeColor="accent1"/>
        </w:tcBorders>
      </w:tcPr>
    </w:tblStylePr>
    <w:tblStylePr w:type="band1Horz">
      <w:rPr>
        <w:sz w:val="22"/>
      </w:rPr>
      <w:tblPr/>
      <w:tcPr>
        <w:tcBorders>
          <w:top w:val="single" w:sz="4" w:space="0" w:color="156082" w:themeColor="accent1"/>
          <w:bottom w:val="single" w:sz="4" w:space="0" w:color="156082" w:themeColor="accent1"/>
        </w:tcBorders>
      </w:tcPr>
    </w:tblStylePr>
  </w:style>
  <w:style w:type="table" w:styleId="ListTable3-Accent2">
    <w:name w:val="List Table 3 Accent 2"/>
    <w:basedOn w:val="TableNormal"/>
    <w:uiPriority w:val="99"/>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blBorders>
    </w:tblPr>
    <w:tblStylePr w:type="firstRow">
      <w:rPr>
        <w:b/>
        <w:sz w:val="22"/>
      </w:rPr>
      <w:tblPr/>
      <w:tcPr>
        <w:shd w:val="clear" w:color="F2AA85" w:fill="F2AA85" w:themeFill="accent2" w:themeFillTint="97"/>
      </w:tcPr>
    </w:tblStylePr>
    <w:tblStylePr w:type="lastRow">
      <w:rPr>
        <w:b/>
      </w:rPr>
    </w:tblStylePr>
    <w:tblStylePr w:type="firstCol">
      <w:rPr>
        <w:b/>
      </w:rPr>
    </w:tblStylePr>
    <w:tblStylePr w:type="lastCol">
      <w:rPr>
        <w:b/>
      </w:rPr>
    </w:tblStylePr>
    <w:tblStylePr w:type="band1Vert">
      <w:rPr>
        <w:sz w:val="22"/>
      </w:rPr>
      <w:tblPr/>
      <w:tcPr>
        <w:tcBorders>
          <w:left w:val="single" w:sz="4" w:space="0" w:color="E97132" w:themeColor="accent2"/>
          <w:right w:val="single" w:sz="4" w:space="0" w:color="E97132" w:themeColor="accent2"/>
        </w:tcBorders>
      </w:tcPr>
    </w:tblStylePr>
    <w:tblStylePr w:type="band1Horz">
      <w:rPr>
        <w:sz w:val="22"/>
      </w:rPr>
      <w:tblPr/>
      <w:tcPr>
        <w:tcBorders>
          <w:top w:val="single" w:sz="4" w:space="0" w:color="E97132" w:themeColor="accent2"/>
          <w:bottom w:val="single" w:sz="4" w:space="0" w:color="E97132" w:themeColor="accent2"/>
        </w:tcBorders>
      </w:tcPr>
    </w:tblStylePr>
  </w:style>
  <w:style w:type="table" w:styleId="ListTable3-Accent3">
    <w:name w:val="List Table 3 Accent 3"/>
    <w:basedOn w:val="TableNormal"/>
    <w:uiPriority w:val="99"/>
    <w:tblPr>
      <w:tblStyleRowBandSize w:val="1"/>
      <w:tblStyleColBandSize w:val="1"/>
      <w:tblBorders>
        <w:top w:val="single" w:sz="4" w:space="0" w:color="48D45B" w:themeColor="accent3" w:themeTint="98"/>
        <w:left w:val="single" w:sz="4" w:space="0" w:color="48D45B" w:themeColor="accent3" w:themeTint="98"/>
        <w:bottom w:val="single" w:sz="4" w:space="0" w:color="48D45B" w:themeColor="accent3" w:themeTint="98"/>
        <w:right w:val="single" w:sz="4" w:space="0" w:color="48D45B" w:themeColor="accent3" w:themeTint="98"/>
      </w:tblBorders>
    </w:tblPr>
    <w:tblStylePr w:type="firstRow">
      <w:rPr>
        <w:b/>
        <w:sz w:val="22"/>
      </w:rPr>
      <w:tblPr/>
      <w:tcPr>
        <w:shd w:val="clear" w:color="48D45B" w:fill="48D45B" w:themeFill="accent3"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196B24" w:themeColor="accent3"/>
          <w:right w:val="single" w:sz="4" w:space="0" w:color="196B24" w:themeColor="accent3"/>
        </w:tcBorders>
      </w:tcPr>
    </w:tblStylePr>
    <w:tblStylePr w:type="band1Horz">
      <w:rPr>
        <w:sz w:val="22"/>
      </w:rPr>
      <w:tblPr/>
      <w:tcPr>
        <w:tcBorders>
          <w:top w:val="single" w:sz="4" w:space="0" w:color="196B24" w:themeColor="accent3"/>
          <w:bottom w:val="single" w:sz="4" w:space="0" w:color="196B24" w:themeColor="accent3"/>
        </w:tcBorders>
      </w:tcPr>
    </w:tblStylePr>
  </w:style>
  <w:style w:type="table" w:styleId="ListTable3-Accent4">
    <w:name w:val="List Table 3 Accent 4"/>
    <w:basedOn w:val="TableNormal"/>
    <w:uiPriority w:val="99"/>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blBorders>
    </w:tblPr>
    <w:tblStylePr w:type="firstRow">
      <w:rPr>
        <w:b/>
        <w:sz w:val="22"/>
      </w:rPr>
      <w:tblPr/>
      <w:tcPr>
        <w:shd w:val="clear" w:color="5FCAF3" w:fill="5FCAF3" w:themeFill="accent4"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0F9ED5" w:themeColor="accent4"/>
          <w:right w:val="single" w:sz="4" w:space="0" w:color="0F9ED5" w:themeColor="accent4"/>
        </w:tcBorders>
      </w:tcPr>
    </w:tblStylePr>
    <w:tblStylePr w:type="band1Horz">
      <w:rPr>
        <w:sz w:val="22"/>
      </w:rPr>
      <w:tblPr/>
      <w:tcPr>
        <w:tcBorders>
          <w:top w:val="single" w:sz="4" w:space="0" w:color="0F9ED5" w:themeColor="accent4"/>
          <w:bottom w:val="single" w:sz="4" w:space="0" w:color="0F9ED5" w:themeColor="accent4"/>
        </w:tcBorders>
      </w:tcPr>
    </w:tblStylePr>
  </w:style>
  <w:style w:type="table" w:styleId="ListTable3-Accent5">
    <w:name w:val="List Table 3 Accent 5"/>
    <w:basedOn w:val="TableNormal"/>
    <w:uiPriority w:val="99"/>
    <w:tblPr>
      <w:tblStyleRowBandSize w:val="1"/>
      <w:tblStyleColBandSize w:val="1"/>
      <w:tblBorders>
        <w:top w:val="single" w:sz="4" w:space="0" w:color="D76CCB" w:themeColor="accent5" w:themeTint="9A"/>
        <w:left w:val="single" w:sz="4" w:space="0" w:color="D76CCB" w:themeColor="accent5" w:themeTint="9A"/>
        <w:bottom w:val="single" w:sz="4" w:space="0" w:color="D76CCB" w:themeColor="accent5" w:themeTint="9A"/>
        <w:right w:val="single" w:sz="4" w:space="0" w:color="D76CCB" w:themeColor="accent5" w:themeTint="9A"/>
      </w:tblBorders>
    </w:tblPr>
    <w:tblStylePr w:type="firstRow">
      <w:rPr>
        <w:b/>
        <w:sz w:val="22"/>
      </w:rPr>
      <w:tblPr/>
      <w:tcPr>
        <w:shd w:val="clear" w:color="D76CCB" w:fill="D76CCB" w:themeFill="accent5"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A02B93" w:themeColor="accent5"/>
          <w:right w:val="single" w:sz="4" w:space="0" w:color="A02B93" w:themeColor="accent5"/>
        </w:tcBorders>
      </w:tcPr>
    </w:tblStylePr>
    <w:tblStylePr w:type="band1Horz">
      <w:rPr>
        <w:sz w:val="22"/>
      </w:rPr>
      <w:tblPr/>
      <w:tcPr>
        <w:tcBorders>
          <w:top w:val="single" w:sz="4" w:space="0" w:color="A02B93" w:themeColor="accent5"/>
          <w:bottom w:val="single" w:sz="4" w:space="0" w:color="A02B93" w:themeColor="accent5"/>
        </w:tcBorders>
      </w:tcPr>
    </w:tblStylePr>
  </w:style>
  <w:style w:type="table" w:styleId="ListTable3-Accent6">
    <w:name w:val="List Table 3 Accent 6"/>
    <w:basedOn w:val="TableNormal"/>
    <w:uiPriority w:val="99"/>
    <w:tblPr>
      <w:tblStyleRowBandSize w:val="1"/>
      <w:tblStyleColBandSize w:val="1"/>
      <w:tblBorders>
        <w:top w:val="single" w:sz="4" w:space="0" w:color="8ED873" w:themeColor="accent6" w:themeTint="98"/>
        <w:left w:val="single" w:sz="4" w:space="0" w:color="8ED873" w:themeColor="accent6" w:themeTint="98"/>
        <w:bottom w:val="single" w:sz="4" w:space="0" w:color="8ED873" w:themeColor="accent6" w:themeTint="98"/>
        <w:right w:val="single" w:sz="4" w:space="0" w:color="8ED873" w:themeColor="accent6" w:themeTint="98"/>
      </w:tblBorders>
    </w:tblPr>
    <w:tblStylePr w:type="firstRow">
      <w:rPr>
        <w:b/>
        <w:sz w:val="22"/>
      </w:rPr>
      <w:tblPr/>
      <w:tcPr>
        <w:shd w:val="clear" w:color="8ED873" w:fill="8ED873" w:themeFill="accent6"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4EA72E" w:themeColor="accent6"/>
          <w:right w:val="single" w:sz="4" w:space="0" w:color="4EA72E" w:themeColor="accent6"/>
        </w:tcBorders>
      </w:tcPr>
    </w:tblStylePr>
    <w:tblStylePr w:type="band1Horz">
      <w:rPr>
        <w:sz w:val="22"/>
      </w:rPr>
      <w:tblPr/>
      <w:tcPr>
        <w:tcBorders>
          <w:top w:val="single" w:sz="4" w:space="0" w:color="4EA72E" w:themeColor="accent6"/>
          <w:bottom w:val="single" w:sz="4" w:space="0" w:color="4EA72E" w:themeColor="accent6"/>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b/>
        <w:sz w:val="22"/>
      </w:rPr>
      <w:tblPr/>
      <w:tcPr>
        <w:shd w:val="clear" w:color="000000" w:fill="000000" w:themeFill="text1"/>
      </w:tcPr>
    </w:tblStylePr>
    <w:tblStylePr w:type="lastRow">
      <w:rPr>
        <w:b/>
      </w:rPr>
    </w:tblStylePr>
    <w:tblStylePr w:type="firstCol">
      <w:rPr>
        <w:b/>
      </w:rPr>
    </w:tblStylePr>
    <w:tblStylePr w:type="lastCol">
      <w:rPr>
        <w:b/>
      </w:r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styleId="ListTable4-Accent1">
    <w:name w:val="List Table 4 Accent 1"/>
    <w:basedOn w:val="TableNormal"/>
    <w:uiPriority w:val="99"/>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tblBorders>
    </w:tblPr>
    <w:tblStylePr w:type="firstRow">
      <w:rPr>
        <w:b/>
        <w:sz w:val="22"/>
      </w:rPr>
      <w:tblPr/>
      <w:tcPr>
        <w:shd w:val="clear" w:color="156082" w:fill="156082" w:themeFill="accent1"/>
      </w:tcPr>
    </w:tblStylePr>
    <w:tblStylePr w:type="lastRow">
      <w:rPr>
        <w:b/>
      </w:rPr>
    </w:tblStylePr>
    <w:tblStylePr w:type="firstCol">
      <w:rPr>
        <w:b/>
      </w:rPr>
    </w:tblStylePr>
    <w:tblStylePr w:type="lastCol">
      <w:rPr>
        <w:b/>
      </w:rPr>
    </w:tblStylePr>
    <w:tblStylePr w:type="band1Vert">
      <w:rPr>
        <w:sz w:val="22"/>
      </w:rPr>
      <w:tblPr/>
      <w:tcPr>
        <w:shd w:val="clear" w:color="B1DEF2" w:fill="B1DEF2" w:themeFill="accent1" w:themeFillTint="40"/>
      </w:tcPr>
    </w:tblStylePr>
    <w:tblStylePr w:type="band1Horz">
      <w:rPr>
        <w:sz w:val="22"/>
      </w:rPr>
      <w:tblPr/>
      <w:tcPr>
        <w:shd w:val="clear" w:color="B1DEF2" w:fill="B1DEF2" w:themeFill="accent1" w:themeFillTint="40"/>
      </w:tcPr>
    </w:tblStylePr>
  </w:style>
  <w:style w:type="table" w:styleId="ListTable4-Accent2">
    <w:name w:val="List Table 4 Accent 2"/>
    <w:basedOn w:val="TableNormal"/>
    <w:uiPriority w:val="99"/>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tblBorders>
    </w:tblPr>
    <w:tblStylePr w:type="firstRow">
      <w:rPr>
        <w:b/>
        <w:sz w:val="22"/>
      </w:rPr>
      <w:tblPr/>
      <w:tcPr>
        <w:shd w:val="clear" w:color="E97132" w:fill="E97132" w:themeFill="accent2"/>
      </w:tcPr>
    </w:tblStylePr>
    <w:tblStylePr w:type="lastRow">
      <w:rPr>
        <w:b/>
      </w:rPr>
    </w:tblStylePr>
    <w:tblStylePr w:type="firstCol">
      <w:rPr>
        <w:b/>
      </w:rPr>
    </w:tblStylePr>
    <w:tblStylePr w:type="lastCol">
      <w:rPr>
        <w:b/>
      </w:rPr>
    </w:tblStylePr>
    <w:tblStylePr w:type="band1Vert">
      <w:rPr>
        <w:sz w:val="22"/>
      </w:rPr>
      <w:tblPr/>
      <w:tcPr>
        <w:shd w:val="clear" w:color="F9DBCB" w:fill="F9DBCB" w:themeFill="accent2" w:themeFillTint="40"/>
      </w:tcPr>
    </w:tblStylePr>
    <w:tblStylePr w:type="band1Horz">
      <w:rPr>
        <w:sz w:val="22"/>
      </w:rPr>
      <w:tblPr/>
      <w:tcPr>
        <w:shd w:val="clear" w:color="F9DBCB" w:fill="F9DBCB" w:themeFill="accent2" w:themeFillTint="40"/>
      </w:tcPr>
    </w:tblStylePr>
  </w:style>
  <w:style w:type="table" w:styleId="ListTable4-Accent3">
    <w:name w:val="List Table 4 Accent 3"/>
    <w:basedOn w:val="TableNormal"/>
    <w:uiPriority w:val="99"/>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tblBorders>
    </w:tblPr>
    <w:tblStylePr w:type="firstRow">
      <w:rPr>
        <w:b/>
        <w:sz w:val="22"/>
      </w:rPr>
      <w:tblPr/>
      <w:tcPr>
        <w:shd w:val="clear" w:color="196B24" w:fill="196B24" w:themeFill="accent3"/>
      </w:tcPr>
    </w:tblStylePr>
    <w:tblStylePr w:type="lastRow">
      <w:rPr>
        <w:b/>
      </w:rPr>
    </w:tblStylePr>
    <w:tblStylePr w:type="firstCol">
      <w:rPr>
        <w:b/>
      </w:rPr>
    </w:tblStylePr>
    <w:tblStylePr w:type="lastCol">
      <w:rPr>
        <w:b/>
      </w:rPr>
    </w:tblStylePr>
    <w:tblStylePr w:type="band1Vert">
      <w:rPr>
        <w:sz w:val="22"/>
      </w:rPr>
      <w:tblPr/>
      <w:tcPr>
        <w:shd w:val="clear" w:color="B2EDB9" w:fill="B2EDB9" w:themeFill="accent3" w:themeFillTint="40"/>
      </w:tcPr>
    </w:tblStylePr>
    <w:tblStylePr w:type="band1Horz">
      <w:rPr>
        <w:sz w:val="22"/>
      </w:rPr>
      <w:tblPr/>
      <w:tcPr>
        <w:shd w:val="clear" w:color="B2EDB9" w:fill="B2EDB9" w:themeFill="accent3" w:themeFillTint="40"/>
      </w:tcPr>
    </w:tblStylePr>
  </w:style>
  <w:style w:type="table" w:styleId="ListTable4-Accent4">
    <w:name w:val="List Table 4 Accent 4"/>
    <w:basedOn w:val="TableNormal"/>
    <w:uiPriority w:val="99"/>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tblBorders>
    </w:tblPr>
    <w:tblStylePr w:type="firstRow">
      <w:rPr>
        <w:b/>
        <w:sz w:val="22"/>
      </w:rPr>
      <w:tblPr/>
      <w:tcPr>
        <w:shd w:val="clear" w:color="0F9ED5" w:fill="0F9ED5" w:themeFill="accent4"/>
      </w:tcPr>
    </w:tblStylePr>
    <w:tblStylePr w:type="lastRow">
      <w:rPr>
        <w:b/>
      </w:rPr>
    </w:tblStylePr>
    <w:tblStylePr w:type="firstCol">
      <w:rPr>
        <w:b/>
      </w:rPr>
    </w:tblStylePr>
    <w:tblStylePr w:type="lastCol">
      <w:rPr>
        <w:b/>
      </w:rPr>
    </w:tblStylePr>
    <w:tblStylePr w:type="band1Vert">
      <w:rPr>
        <w:sz w:val="22"/>
      </w:rPr>
      <w:tblPr/>
      <w:tcPr>
        <w:shd w:val="clear" w:color="BCE9FA" w:fill="BCE9FA" w:themeFill="accent4" w:themeFillTint="40"/>
      </w:tcPr>
    </w:tblStylePr>
    <w:tblStylePr w:type="band1Horz">
      <w:rPr>
        <w:sz w:val="22"/>
      </w:rPr>
      <w:tblPr/>
      <w:tcPr>
        <w:shd w:val="clear" w:color="BCE9FA" w:fill="BCE9FA" w:themeFill="accent4" w:themeFillTint="40"/>
      </w:tcPr>
    </w:tblStylePr>
  </w:style>
  <w:style w:type="table" w:styleId="ListTable4-Accent5">
    <w:name w:val="List Table 4 Accent 5"/>
    <w:basedOn w:val="TableNormal"/>
    <w:uiPriority w:val="99"/>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tblBorders>
    </w:tblPr>
    <w:tblStylePr w:type="firstRow">
      <w:rPr>
        <w:b/>
        <w:sz w:val="22"/>
      </w:rPr>
      <w:tblPr/>
      <w:tcPr>
        <w:shd w:val="clear" w:color="A02B93" w:fill="A02B93" w:themeFill="accent5"/>
      </w:tcPr>
    </w:tblStylePr>
    <w:tblStylePr w:type="lastRow">
      <w:rPr>
        <w:b/>
      </w:rPr>
    </w:tblStylePr>
    <w:tblStylePr w:type="firstCol">
      <w:rPr>
        <w:b/>
      </w:rPr>
    </w:tblStylePr>
    <w:tblStylePr w:type="lastCol">
      <w:rPr>
        <w:b/>
      </w:rPr>
    </w:tblStylePr>
    <w:tblStylePr w:type="band1Vert">
      <w:rPr>
        <w:sz w:val="22"/>
      </w:rPr>
      <w:tblPr/>
      <w:tcPr>
        <w:shd w:val="clear" w:color="EEC2E9" w:fill="EEC2E9" w:themeFill="accent5" w:themeFillTint="40"/>
      </w:tcPr>
    </w:tblStylePr>
    <w:tblStylePr w:type="band1Horz">
      <w:rPr>
        <w:sz w:val="22"/>
      </w:rPr>
      <w:tblPr/>
      <w:tcPr>
        <w:shd w:val="clear" w:color="EEC2E9" w:fill="EEC2E9" w:themeFill="accent5" w:themeFillTint="40"/>
      </w:tcPr>
    </w:tblStylePr>
  </w:style>
  <w:style w:type="table" w:styleId="ListTable4-Accent6">
    <w:name w:val="List Table 4 Accent 6"/>
    <w:basedOn w:val="TableNormal"/>
    <w:uiPriority w:val="99"/>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tblBorders>
    </w:tblPr>
    <w:tblStylePr w:type="firstRow">
      <w:rPr>
        <w:b/>
        <w:sz w:val="22"/>
      </w:rPr>
      <w:tblPr/>
      <w:tcPr>
        <w:shd w:val="clear" w:color="4EA72E" w:fill="4EA72E" w:themeFill="accent6"/>
      </w:tcPr>
    </w:tblStylePr>
    <w:tblStylePr w:type="lastRow">
      <w:rPr>
        <w:b/>
      </w:rPr>
    </w:tblStylePr>
    <w:tblStylePr w:type="firstCol">
      <w:rPr>
        <w:b/>
      </w:rPr>
    </w:tblStylePr>
    <w:tblStylePr w:type="lastCol">
      <w:rPr>
        <w:b/>
      </w:rPr>
    </w:tblStylePr>
    <w:tblStylePr w:type="band1Vert">
      <w:rPr>
        <w:sz w:val="22"/>
      </w:rPr>
      <w:tblPr/>
      <w:tcPr>
        <w:shd w:val="clear" w:color="CFEFC4" w:fill="CFEFC4" w:themeFill="accent6" w:themeFillTint="40"/>
      </w:tcPr>
    </w:tblStylePr>
    <w:tblStylePr w:type="band1Horz">
      <w:rPr>
        <w:sz w:val="22"/>
      </w:rPr>
      <w:tblPr/>
      <w:tcPr>
        <w:shd w:val="clear" w:color="CFEFC4" w:fill="CFEFC4" w:themeFill="accent6"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Pr>
    <w:tblStylePr w:type="firstRow">
      <w:rPr>
        <w:b/>
        <w:color w:val="FFFFFF" w:themeColor="light1"/>
        <w:sz w:val="22"/>
      </w:rPr>
      <w:tblPr/>
      <w:tcPr>
        <w:tcBorders>
          <w:top w:val="single" w:sz="32" w:space="0" w:color="000000" w:themeColor="text1"/>
          <w:bottom w:val="single" w:sz="12" w:space="0" w:color="FFFFFF" w:themeColor="light1"/>
        </w:tcBorders>
        <w:shd w:val="clear" w:color="7F7F7F" w:fill="7F7F7F" w:themeFill="text1" w:themeFillTint="80"/>
      </w:tcPr>
    </w:tblStylePr>
    <w:tblStylePr w:type="lastRow">
      <w:rPr>
        <w:b/>
        <w:color w:val="FFFFFF" w:themeColor="light1"/>
        <w:sz w:val="22"/>
      </w:rPr>
    </w:tblStylePr>
    <w:tblStylePr w:type="firstCol">
      <w:rPr>
        <w:b/>
        <w:color w:val="FFFFFF" w:themeColor="light1"/>
        <w:sz w:val="22"/>
      </w:rPr>
      <w:tblPr/>
      <w:tcPr>
        <w:tcBorders>
          <w:left w:val="single" w:sz="32" w:space="0" w:color="000000" w:themeColor="text1"/>
          <w:right w:val="single" w:sz="4" w:space="0" w:color="FFFFFF" w:themeColor="light1"/>
        </w:tcBorders>
      </w:tcPr>
    </w:tblStylePr>
    <w:tblStylePr w:type="lastCol">
      <w:tblPr/>
      <w:tcPr>
        <w:tcBorders>
          <w:left w:val="single" w:sz="4" w:space="0" w:color="FFFFFF" w:themeColor="light1"/>
          <w:right w:val="single" w:sz="32" w:space="0" w:color="000000" w:themeColor="text1"/>
        </w:tcBorders>
      </w:tcPr>
    </w:tblStylePr>
    <w:tblStylePr w:type="band1Vert">
      <w:tblPr/>
      <w:tcPr>
        <w:tcBorders>
          <w:left w:val="single" w:sz="4" w:space="0" w:color="FFFFFF" w:themeColor="light1"/>
          <w:right w:val="single" w:sz="4" w:space="0" w:color="FFFFFF" w:themeColor="light1"/>
        </w:tcBorders>
        <w:shd w:val="clear" w:color="7F7F7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fill="7F7F7F" w:themeFill="text1" w:themeFillTint="80"/>
      </w:tcPr>
    </w:tblStylePr>
    <w:tblStylePr w:type="band2Horz">
      <w:tblPr/>
      <w:tcPr>
        <w:tcBorders>
          <w:top w:val="single" w:sz="4" w:space="0" w:color="FFFFFF" w:themeColor="light1"/>
          <w:bottom w:val="single" w:sz="4" w:space="0" w:color="FFFFFF" w:themeColor="light1"/>
        </w:tcBorders>
        <w:shd w:val="clear" w:color="7F7F7F" w:fill="7F7F7F" w:themeFill="text1" w:themeFillTint="80"/>
      </w:tcPr>
    </w:tblStylePr>
  </w:style>
  <w:style w:type="table" w:styleId="ListTable5Dark-Accent1">
    <w:name w:val="List Table 5 Dark Accent 1"/>
    <w:basedOn w:val="TableNormal"/>
    <w:uiPriority w:val="99"/>
    <w:tblPr>
      <w:tblStyleRowBandSize w:val="1"/>
      <w:tblStyleColBandSize w:val="1"/>
      <w:tblBorders>
        <w:top w:val="single" w:sz="32" w:space="0" w:color="156082" w:themeColor="accent1"/>
        <w:left w:val="single" w:sz="32" w:space="0" w:color="156082" w:themeColor="accent1"/>
        <w:bottom w:val="single" w:sz="32" w:space="0" w:color="156082" w:themeColor="accent1"/>
        <w:right w:val="single" w:sz="32" w:space="0" w:color="156082" w:themeColor="accent1"/>
      </w:tblBorders>
    </w:tblPr>
    <w:tblStylePr w:type="firstRow">
      <w:rPr>
        <w:b/>
        <w:color w:val="FFFFFF" w:themeColor="light1"/>
        <w:sz w:val="22"/>
      </w:rPr>
      <w:tblPr/>
      <w:tcPr>
        <w:tcBorders>
          <w:top w:val="single" w:sz="32" w:space="0" w:color="156082" w:themeColor="accent1"/>
          <w:bottom w:val="single" w:sz="12" w:space="0" w:color="FFFFFF" w:themeColor="light1"/>
        </w:tcBorders>
        <w:shd w:val="clear" w:color="156082" w:fill="156082" w:themeFill="accent1"/>
      </w:tcPr>
    </w:tblStylePr>
    <w:tblStylePr w:type="lastRow">
      <w:rPr>
        <w:b/>
        <w:color w:val="FFFFFF" w:themeColor="light1"/>
        <w:sz w:val="22"/>
      </w:rPr>
    </w:tblStylePr>
    <w:tblStylePr w:type="firstCol">
      <w:rPr>
        <w:b/>
        <w:color w:val="FFFFFF" w:themeColor="light1"/>
        <w:sz w:val="22"/>
      </w:rPr>
      <w:tblPr/>
      <w:tcPr>
        <w:tcBorders>
          <w:left w:val="single" w:sz="32" w:space="0" w:color="156082" w:themeColor="accent1"/>
          <w:right w:val="single" w:sz="4" w:space="0" w:color="FFFFFF" w:themeColor="light1"/>
        </w:tcBorders>
      </w:tcPr>
    </w:tblStylePr>
    <w:tblStylePr w:type="lastCol">
      <w:tblPr/>
      <w:tcPr>
        <w:tcBorders>
          <w:left w:val="single" w:sz="4" w:space="0" w:color="FFFFFF" w:themeColor="light1"/>
          <w:right w:val="single" w:sz="32" w:space="0" w:color="156082" w:themeColor="accent1"/>
        </w:tcBorders>
      </w:tcPr>
    </w:tblStylePr>
    <w:tblStylePr w:type="band1Vert">
      <w:tblPr/>
      <w:tcPr>
        <w:tcBorders>
          <w:left w:val="single" w:sz="4" w:space="0" w:color="FFFFFF" w:themeColor="light1"/>
          <w:right w:val="single" w:sz="4" w:space="0" w:color="FFFFFF" w:themeColor="light1"/>
        </w:tcBorders>
        <w:shd w:val="clear" w:color="156082" w:fill="156082"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156082" w:fill="156082" w:themeFill="accent1"/>
      </w:tcPr>
    </w:tblStylePr>
    <w:tblStylePr w:type="band2Horz">
      <w:tblPr/>
      <w:tcPr>
        <w:tcBorders>
          <w:top w:val="single" w:sz="4" w:space="0" w:color="FFFFFF" w:themeColor="light1"/>
          <w:bottom w:val="single" w:sz="4" w:space="0" w:color="FFFFFF" w:themeColor="light1"/>
        </w:tcBorders>
        <w:shd w:val="clear" w:color="156082" w:fill="156082" w:themeFill="accent1"/>
      </w:tcPr>
    </w:tblStylePr>
  </w:style>
  <w:style w:type="table" w:styleId="ListTable5Dark-Accent2">
    <w:name w:val="List Table 5 Dark Accent 2"/>
    <w:basedOn w:val="TableNormal"/>
    <w:uiPriority w:val="99"/>
    <w:tblPr>
      <w:tblStyleRowBandSize w:val="1"/>
      <w:tblStyleColBandSize w:val="1"/>
      <w:tblBorders>
        <w:top w:val="single" w:sz="32" w:space="0" w:color="F2AA85" w:themeColor="accent2" w:themeTint="97"/>
        <w:left w:val="single" w:sz="32" w:space="0" w:color="F2AA85" w:themeColor="accent2" w:themeTint="97"/>
        <w:bottom w:val="single" w:sz="32" w:space="0" w:color="F2AA85" w:themeColor="accent2" w:themeTint="97"/>
        <w:right w:val="single" w:sz="32" w:space="0" w:color="F2AA85" w:themeColor="accent2" w:themeTint="97"/>
      </w:tblBorders>
    </w:tblPr>
    <w:tblStylePr w:type="firstRow">
      <w:rPr>
        <w:b/>
        <w:color w:val="FFFFFF" w:themeColor="light1"/>
        <w:sz w:val="22"/>
      </w:rPr>
      <w:tblPr/>
      <w:tcPr>
        <w:tcBorders>
          <w:top w:val="single" w:sz="32" w:space="0" w:color="E97132" w:themeColor="accent2"/>
          <w:bottom w:val="single" w:sz="12" w:space="0" w:color="FFFFFF" w:themeColor="light1"/>
        </w:tcBorders>
        <w:shd w:val="clear" w:color="F2AA85" w:fill="F2AA85" w:themeFill="accent2" w:themeFillTint="97"/>
      </w:tcPr>
    </w:tblStylePr>
    <w:tblStylePr w:type="lastRow">
      <w:rPr>
        <w:b/>
        <w:color w:val="FFFFFF" w:themeColor="light1"/>
        <w:sz w:val="22"/>
      </w:rPr>
    </w:tblStylePr>
    <w:tblStylePr w:type="firstCol">
      <w:rPr>
        <w:b/>
        <w:color w:val="FFFFFF" w:themeColor="light1"/>
        <w:sz w:val="22"/>
      </w:rPr>
      <w:tblPr/>
      <w:tcPr>
        <w:tcBorders>
          <w:left w:val="single" w:sz="32" w:space="0" w:color="E97132" w:themeColor="accent2"/>
          <w:right w:val="single" w:sz="4" w:space="0" w:color="FFFFFF" w:themeColor="light1"/>
        </w:tcBorders>
      </w:tcPr>
    </w:tblStylePr>
    <w:tblStylePr w:type="lastCol">
      <w:tblPr/>
      <w:tcPr>
        <w:tcBorders>
          <w:left w:val="single" w:sz="4" w:space="0" w:color="FFFFFF" w:themeColor="light1"/>
          <w:right w:val="single" w:sz="32" w:space="0" w:color="E97132" w:themeColor="accent2"/>
        </w:tcBorders>
      </w:tcPr>
    </w:tblStylePr>
    <w:tblStylePr w:type="band1Vert">
      <w:tblPr/>
      <w:tcPr>
        <w:tcBorders>
          <w:left w:val="single" w:sz="4" w:space="0" w:color="FFFFFF" w:themeColor="light1"/>
          <w:right w:val="single" w:sz="4" w:space="0" w:color="FFFFFF" w:themeColor="light1"/>
        </w:tcBorders>
        <w:shd w:val="clear" w:color="F2AA85" w:fill="F2AA8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2AA85" w:fill="F2AA85" w:themeFill="accent2" w:themeFillTint="97"/>
      </w:tcPr>
    </w:tblStylePr>
    <w:tblStylePr w:type="band2Horz">
      <w:tblPr/>
      <w:tcPr>
        <w:tcBorders>
          <w:top w:val="single" w:sz="4" w:space="0" w:color="FFFFFF" w:themeColor="light1"/>
          <w:bottom w:val="single" w:sz="4" w:space="0" w:color="FFFFFF" w:themeColor="light1"/>
        </w:tcBorders>
        <w:shd w:val="clear" w:color="F2AA85" w:fill="F2AA85" w:themeFill="accent2" w:themeFillTint="97"/>
      </w:tcPr>
    </w:tblStylePr>
  </w:style>
  <w:style w:type="table" w:styleId="ListTable5Dark-Accent3">
    <w:name w:val="List Table 5 Dark Accent 3"/>
    <w:basedOn w:val="TableNormal"/>
    <w:uiPriority w:val="99"/>
    <w:tblPr>
      <w:tblStyleRowBandSize w:val="1"/>
      <w:tblStyleColBandSize w:val="1"/>
      <w:tblBorders>
        <w:top w:val="single" w:sz="32" w:space="0" w:color="48D45B" w:themeColor="accent3" w:themeTint="98"/>
        <w:left w:val="single" w:sz="32" w:space="0" w:color="48D45B" w:themeColor="accent3" w:themeTint="98"/>
        <w:bottom w:val="single" w:sz="32" w:space="0" w:color="48D45B" w:themeColor="accent3" w:themeTint="98"/>
        <w:right w:val="single" w:sz="32" w:space="0" w:color="48D45B" w:themeColor="accent3" w:themeTint="98"/>
      </w:tblBorders>
    </w:tblPr>
    <w:tblStylePr w:type="firstRow">
      <w:rPr>
        <w:b/>
        <w:color w:val="FFFFFF" w:themeColor="light1"/>
        <w:sz w:val="22"/>
      </w:rPr>
      <w:tblPr/>
      <w:tcPr>
        <w:tcBorders>
          <w:top w:val="single" w:sz="32" w:space="0" w:color="196B24" w:themeColor="accent3"/>
          <w:bottom w:val="single" w:sz="12" w:space="0" w:color="FFFFFF" w:themeColor="light1"/>
        </w:tcBorders>
        <w:shd w:val="clear" w:color="48D45B" w:fill="48D45B" w:themeFill="accent3"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196B24" w:themeColor="accent3"/>
          <w:right w:val="single" w:sz="4" w:space="0" w:color="FFFFFF" w:themeColor="light1"/>
        </w:tcBorders>
      </w:tcPr>
    </w:tblStylePr>
    <w:tblStylePr w:type="lastCol">
      <w:tblPr/>
      <w:tcPr>
        <w:tcBorders>
          <w:left w:val="single" w:sz="4" w:space="0" w:color="FFFFFF" w:themeColor="light1"/>
          <w:right w:val="single" w:sz="32" w:space="0" w:color="196B24" w:themeColor="accent3"/>
        </w:tcBorders>
      </w:tcPr>
    </w:tblStylePr>
    <w:tblStylePr w:type="band1Vert">
      <w:tblPr/>
      <w:tcPr>
        <w:tcBorders>
          <w:left w:val="single" w:sz="4" w:space="0" w:color="FFFFFF" w:themeColor="light1"/>
          <w:right w:val="single" w:sz="4" w:space="0" w:color="FFFFFF" w:themeColor="light1"/>
        </w:tcBorders>
        <w:shd w:val="clear" w:color="48D45B" w:fill="48D45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8D45B" w:fill="48D45B" w:themeFill="accent3" w:themeFillTint="98"/>
      </w:tcPr>
    </w:tblStylePr>
    <w:tblStylePr w:type="band2Horz">
      <w:tblPr/>
      <w:tcPr>
        <w:tcBorders>
          <w:top w:val="single" w:sz="4" w:space="0" w:color="FFFFFF" w:themeColor="light1"/>
          <w:bottom w:val="single" w:sz="4" w:space="0" w:color="FFFFFF" w:themeColor="light1"/>
        </w:tcBorders>
        <w:shd w:val="clear" w:color="48D45B" w:fill="48D45B" w:themeFill="accent3" w:themeFillTint="98"/>
      </w:tcPr>
    </w:tblStylePr>
  </w:style>
  <w:style w:type="table" w:styleId="ListTable5Dark-Accent4">
    <w:name w:val="List Table 5 Dark Accent 4"/>
    <w:basedOn w:val="TableNormal"/>
    <w:uiPriority w:val="99"/>
    <w:tblPr>
      <w:tblStyleRowBandSize w:val="1"/>
      <w:tblStyleColBandSize w:val="1"/>
      <w:tblBorders>
        <w:top w:val="single" w:sz="32" w:space="0" w:color="5FCAF3" w:themeColor="accent4" w:themeTint="9A"/>
        <w:left w:val="single" w:sz="32" w:space="0" w:color="5FCAF3" w:themeColor="accent4" w:themeTint="9A"/>
        <w:bottom w:val="single" w:sz="32" w:space="0" w:color="5FCAF3" w:themeColor="accent4" w:themeTint="9A"/>
        <w:right w:val="single" w:sz="32" w:space="0" w:color="5FCAF3" w:themeColor="accent4" w:themeTint="9A"/>
      </w:tblBorders>
    </w:tblPr>
    <w:tblStylePr w:type="firstRow">
      <w:rPr>
        <w:b/>
        <w:color w:val="FFFFFF" w:themeColor="light1"/>
        <w:sz w:val="22"/>
      </w:rPr>
      <w:tblPr/>
      <w:tcPr>
        <w:tcBorders>
          <w:top w:val="single" w:sz="32" w:space="0" w:color="0F9ED5" w:themeColor="accent4"/>
          <w:bottom w:val="single" w:sz="12" w:space="0" w:color="FFFFFF" w:themeColor="light1"/>
        </w:tcBorders>
        <w:shd w:val="clear" w:color="5FCAF3" w:fill="5FCAF3" w:themeFill="accent4"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0F9ED5" w:themeColor="accent4"/>
          <w:right w:val="single" w:sz="4" w:space="0" w:color="FFFFFF" w:themeColor="light1"/>
        </w:tcBorders>
      </w:tcPr>
    </w:tblStylePr>
    <w:tblStylePr w:type="lastCol">
      <w:tblPr/>
      <w:tcPr>
        <w:tcBorders>
          <w:left w:val="single" w:sz="4" w:space="0" w:color="FFFFFF" w:themeColor="light1"/>
          <w:right w:val="single" w:sz="32" w:space="0" w:color="0F9ED5" w:themeColor="accent4"/>
        </w:tcBorders>
      </w:tcPr>
    </w:tblStylePr>
    <w:tblStylePr w:type="band1Vert">
      <w:tblPr/>
      <w:tcPr>
        <w:tcBorders>
          <w:left w:val="single" w:sz="4" w:space="0" w:color="FFFFFF" w:themeColor="light1"/>
          <w:right w:val="single" w:sz="4" w:space="0" w:color="FFFFFF" w:themeColor="light1"/>
        </w:tcBorders>
        <w:shd w:val="clear" w:color="5FCAF3" w:fill="5FCAF3"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FCAF3" w:fill="5FCAF3" w:themeFill="accent4" w:themeFillTint="9A"/>
      </w:tcPr>
    </w:tblStylePr>
    <w:tblStylePr w:type="band2Horz">
      <w:tblPr/>
      <w:tcPr>
        <w:tcBorders>
          <w:top w:val="single" w:sz="4" w:space="0" w:color="FFFFFF" w:themeColor="light1"/>
          <w:bottom w:val="single" w:sz="4" w:space="0" w:color="FFFFFF" w:themeColor="light1"/>
        </w:tcBorders>
        <w:shd w:val="clear" w:color="5FCAF3" w:fill="5FCAF3" w:themeFill="accent4" w:themeFillTint="9A"/>
      </w:tcPr>
    </w:tblStylePr>
  </w:style>
  <w:style w:type="table" w:styleId="ListTable5Dark-Accent5">
    <w:name w:val="List Table 5 Dark Accent 5"/>
    <w:basedOn w:val="TableNormal"/>
    <w:uiPriority w:val="99"/>
    <w:tblPr>
      <w:tblStyleRowBandSize w:val="1"/>
      <w:tblStyleColBandSize w:val="1"/>
      <w:tblBorders>
        <w:top w:val="single" w:sz="32" w:space="0" w:color="D76CCB" w:themeColor="accent5" w:themeTint="9A"/>
        <w:left w:val="single" w:sz="32" w:space="0" w:color="D76CCB" w:themeColor="accent5" w:themeTint="9A"/>
        <w:bottom w:val="single" w:sz="32" w:space="0" w:color="D76CCB" w:themeColor="accent5" w:themeTint="9A"/>
        <w:right w:val="single" w:sz="32" w:space="0" w:color="D76CCB" w:themeColor="accent5" w:themeTint="9A"/>
      </w:tblBorders>
    </w:tblPr>
    <w:tblStylePr w:type="firstRow">
      <w:rPr>
        <w:b/>
        <w:color w:val="FFFFFF" w:themeColor="light1"/>
        <w:sz w:val="22"/>
      </w:rPr>
      <w:tblPr/>
      <w:tcPr>
        <w:tcBorders>
          <w:top w:val="single" w:sz="32" w:space="0" w:color="A02B93" w:themeColor="accent5"/>
          <w:bottom w:val="single" w:sz="12" w:space="0" w:color="FFFFFF" w:themeColor="light1"/>
        </w:tcBorders>
        <w:shd w:val="clear" w:color="D76CCB" w:fill="D76CCB" w:themeFill="accent5"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A02B93" w:themeColor="accent5"/>
          <w:right w:val="single" w:sz="4" w:space="0" w:color="FFFFFF" w:themeColor="light1"/>
        </w:tcBorders>
      </w:tcPr>
    </w:tblStylePr>
    <w:tblStylePr w:type="lastCol">
      <w:tblPr/>
      <w:tcPr>
        <w:tcBorders>
          <w:left w:val="single" w:sz="4" w:space="0" w:color="FFFFFF" w:themeColor="light1"/>
          <w:right w:val="single" w:sz="32" w:space="0" w:color="A02B93" w:themeColor="accent5"/>
        </w:tcBorders>
      </w:tcPr>
    </w:tblStylePr>
    <w:tblStylePr w:type="band1Vert">
      <w:tblPr/>
      <w:tcPr>
        <w:tcBorders>
          <w:left w:val="single" w:sz="4" w:space="0" w:color="FFFFFF" w:themeColor="light1"/>
          <w:right w:val="single" w:sz="4" w:space="0" w:color="FFFFFF" w:themeColor="light1"/>
        </w:tcBorders>
        <w:shd w:val="clear" w:color="D76CCB" w:fill="D76CC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76CCB" w:fill="D76CCB" w:themeFill="accent5" w:themeFillTint="9A"/>
      </w:tcPr>
    </w:tblStylePr>
    <w:tblStylePr w:type="band2Horz">
      <w:tblPr/>
      <w:tcPr>
        <w:tcBorders>
          <w:top w:val="single" w:sz="4" w:space="0" w:color="FFFFFF" w:themeColor="light1"/>
          <w:bottom w:val="single" w:sz="4" w:space="0" w:color="FFFFFF" w:themeColor="light1"/>
        </w:tcBorders>
        <w:shd w:val="clear" w:color="D76CCB" w:fill="D76CCB" w:themeFill="accent5" w:themeFillTint="9A"/>
      </w:tcPr>
    </w:tblStylePr>
  </w:style>
  <w:style w:type="table" w:styleId="ListTable5Dark-Accent6">
    <w:name w:val="List Table 5 Dark Accent 6"/>
    <w:basedOn w:val="TableNormal"/>
    <w:uiPriority w:val="99"/>
    <w:tblPr>
      <w:tblStyleRowBandSize w:val="1"/>
      <w:tblStyleColBandSize w:val="1"/>
      <w:tblBorders>
        <w:top w:val="single" w:sz="32" w:space="0" w:color="8ED873" w:themeColor="accent6" w:themeTint="98"/>
        <w:left w:val="single" w:sz="32" w:space="0" w:color="8ED873" w:themeColor="accent6" w:themeTint="98"/>
        <w:bottom w:val="single" w:sz="32" w:space="0" w:color="8ED873" w:themeColor="accent6" w:themeTint="98"/>
        <w:right w:val="single" w:sz="32" w:space="0" w:color="8ED873" w:themeColor="accent6" w:themeTint="98"/>
      </w:tblBorders>
    </w:tblPr>
    <w:tblStylePr w:type="firstRow">
      <w:rPr>
        <w:b/>
        <w:color w:val="FFFFFF" w:themeColor="light1"/>
        <w:sz w:val="22"/>
      </w:rPr>
      <w:tblPr/>
      <w:tcPr>
        <w:tcBorders>
          <w:top w:val="single" w:sz="32" w:space="0" w:color="4EA72E" w:themeColor="accent6"/>
          <w:bottom w:val="single" w:sz="12" w:space="0" w:color="FFFFFF" w:themeColor="light1"/>
        </w:tcBorders>
        <w:shd w:val="clear" w:color="8ED873" w:fill="8ED873" w:themeFill="accent6"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4EA72E" w:themeColor="accent6"/>
          <w:right w:val="single" w:sz="4" w:space="0" w:color="FFFFFF" w:themeColor="light1"/>
        </w:tcBorders>
      </w:tcPr>
    </w:tblStylePr>
    <w:tblStylePr w:type="lastCol">
      <w:tblPr/>
      <w:tcPr>
        <w:tcBorders>
          <w:left w:val="single" w:sz="4" w:space="0" w:color="FFFFFF" w:themeColor="light1"/>
          <w:right w:val="single" w:sz="32" w:space="0" w:color="4EA72E" w:themeColor="accent6"/>
        </w:tcBorders>
      </w:tcPr>
    </w:tblStylePr>
    <w:tblStylePr w:type="band1Vert">
      <w:tblPr/>
      <w:tcPr>
        <w:tcBorders>
          <w:left w:val="single" w:sz="4" w:space="0" w:color="FFFFFF" w:themeColor="light1"/>
          <w:right w:val="single" w:sz="4" w:space="0" w:color="FFFFFF" w:themeColor="light1"/>
        </w:tcBorders>
        <w:shd w:val="clear" w:color="8ED873" w:fill="8ED873"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ED873" w:fill="8ED873" w:themeFill="accent6" w:themeFillTint="98"/>
      </w:tcPr>
    </w:tblStylePr>
    <w:tblStylePr w:type="band2Horz">
      <w:tblPr/>
      <w:tcPr>
        <w:tcBorders>
          <w:top w:val="single" w:sz="4" w:space="0" w:color="FFFFFF" w:themeColor="light1"/>
          <w:bottom w:val="single" w:sz="4" w:space="0" w:color="FFFFFF" w:themeColor="light1"/>
        </w:tcBorders>
        <w:shd w:val="clear" w:color="8ED873" w:fill="8ED873" w:themeFill="accent6" w:themeFillTint="98"/>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000000" w:themeColor="text1"/>
        </w:tcBorders>
      </w:tcPr>
    </w:tblStylePr>
    <w:tblStylePr w:type="lastRow">
      <w:rPr>
        <w:b/>
        <w:color w:val="000000" w:themeColor="text1"/>
      </w:rPr>
      <w:tblPr/>
      <w:tcPr>
        <w:tcBorders>
          <w:top w:val="single" w:sz="4" w:space="0" w:color="000000" w:themeColor="text1"/>
        </w:tcBorders>
      </w:tcPr>
    </w:tblStylePr>
    <w:tblStylePr w:type="firstCol">
      <w:rPr>
        <w:b/>
        <w:color w:val="000000" w:themeColor="text1"/>
      </w:rPr>
    </w:tblStylePr>
    <w:tblStylePr w:type="lastCol">
      <w:rPr>
        <w:b/>
        <w:color w:val="000000" w:themeColor="text1"/>
      </w:rPr>
    </w:tblStylePr>
    <w:tblStylePr w:type="band1Vert">
      <w:tblPr/>
      <w:tcPr>
        <w:shd w:val="clear" w:color="BFBFBF" w:fill="BFBFBF" w:themeFill="text1" w:themeFillTint="40"/>
      </w:tcPr>
    </w:tblStylePr>
    <w:tblStylePr w:type="band1Horz">
      <w:rPr>
        <w:color w:val="000000" w:themeColor="text1"/>
        <w:sz w:val="22"/>
      </w:rPr>
      <w:tblPr/>
      <w:tcPr>
        <w:shd w:val="clear" w:color="BFBFBF" w:fill="BFBFBF" w:themeFill="text1" w:themeFillTint="40"/>
      </w:tcPr>
    </w:tblStylePr>
    <w:tblStylePr w:type="band2Horz">
      <w:rPr>
        <w:color w:val="000000" w:themeColor="text1"/>
        <w:sz w:val="22"/>
      </w:rPr>
    </w:tblStylePr>
  </w:style>
  <w:style w:type="table" w:styleId="ListTable6Colorful-Accent1">
    <w:name w:val="List Table 6 Colorful Accent 1"/>
    <w:basedOn w:val="TableNormal"/>
    <w:uiPriority w:val="99"/>
    <w:tblPr>
      <w:tblStyleRowBandSize w:val="1"/>
      <w:tblStyleColBandSize w:val="1"/>
      <w:tblBorders>
        <w:top w:val="single" w:sz="4" w:space="0" w:color="156082" w:themeColor="accent1"/>
        <w:bottom w:val="single" w:sz="4" w:space="0" w:color="156082" w:themeColor="accent1"/>
      </w:tblBorders>
    </w:tblPr>
    <w:tblStylePr w:type="firstRow">
      <w:rPr>
        <w:b/>
        <w:color w:val="0C374B" w:themeColor="accent1" w:themeShade="95"/>
      </w:rPr>
      <w:tblPr/>
      <w:tcPr>
        <w:tcBorders>
          <w:bottom w:val="single" w:sz="4" w:space="0" w:color="156082" w:themeColor="accent1"/>
        </w:tcBorders>
      </w:tcPr>
    </w:tblStylePr>
    <w:tblStylePr w:type="lastRow">
      <w:rPr>
        <w:b/>
        <w:color w:val="0C374B" w:themeColor="accent1" w:themeShade="95"/>
      </w:rPr>
      <w:tblPr/>
      <w:tcPr>
        <w:tcBorders>
          <w:top w:val="single" w:sz="4" w:space="0" w:color="156082" w:themeColor="accent1"/>
        </w:tcBorders>
      </w:tcPr>
    </w:tblStylePr>
    <w:tblStylePr w:type="firstCol">
      <w:rPr>
        <w:b/>
        <w:color w:val="0C374B" w:themeColor="accent1" w:themeShade="95"/>
      </w:rPr>
    </w:tblStylePr>
    <w:tblStylePr w:type="lastCol">
      <w:rPr>
        <w:b/>
        <w:color w:val="0C374B" w:themeColor="accent1" w:themeShade="95"/>
      </w:rPr>
    </w:tblStylePr>
    <w:tblStylePr w:type="band1Vert">
      <w:tblPr/>
      <w:tcPr>
        <w:shd w:val="clear" w:color="B1DEF2" w:fill="B1DEF2" w:themeFill="accent1" w:themeFillTint="40"/>
      </w:tcPr>
    </w:tblStylePr>
    <w:tblStylePr w:type="band1Horz">
      <w:rPr>
        <w:color w:val="0C374B" w:themeColor="accent1" w:themeShade="95"/>
        <w:sz w:val="22"/>
      </w:rPr>
      <w:tblPr/>
      <w:tcPr>
        <w:shd w:val="clear" w:color="B1DEF2" w:fill="B1DEF2" w:themeFill="accent1" w:themeFillTint="40"/>
      </w:tcPr>
    </w:tblStylePr>
    <w:tblStylePr w:type="band2Horz">
      <w:rPr>
        <w:color w:val="0C374B" w:themeColor="accent1" w:themeShade="95"/>
        <w:sz w:val="22"/>
      </w:rPr>
    </w:tblStylePr>
  </w:style>
  <w:style w:type="table" w:styleId="ListTable6Colorful-Accent2">
    <w:name w:val="List Table 6 Colorful Accent 2"/>
    <w:basedOn w:val="TableNormal"/>
    <w:uiPriority w:val="99"/>
    <w:tblPr>
      <w:tblStyleRowBandSize w:val="1"/>
      <w:tblStyleColBandSize w:val="1"/>
      <w:tblBorders>
        <w:top w:val="single" w:sz="4" w:space="0" w:color="F2AA85" w:themeColor="accent2" w:themeTint="97"/>
        <w:bottom w:val="single" w:sz="4" w:space="0" w:color="F2AA85" w:themeColor="accent2" w:themeTint="97"/>
      </w:tblBorders>
    </w:tblPr>
    <w:tblStylePr w:type="firstRow">
      <w:rPr>
        <w:b/>
        <w:color w:val="F2AA85" w:themeColor="accent2" w:themeTint="97" w:themeShade="95"/>
      </w:rPr>
      <w:tblPr/>
      <w:tcPr>
        <w:tcBorders>
          <w:bottom w:val="single" w:sz="4" w:space="0" w:color="E97132" w:themeColor="accent2"/>
        </w:tcBorders>
      </w:tcPr>
    </w:tblStylePr>
    <w:tblStylePr w:type="lastRow">
      <w:rPr>
        <w:b/>
        <w:color w:val="F2AA85" w:themeColor="accent2" w:themeTint="97" w:themeShade="95"/>
      </w:rPr>
      <w:tblPr/>
      <w:tcPr>
        <w:tcBorders>
          <w:top w:val="single" w:sz="4" w:space="0" w:color="E97132" w:themeColor="accent2"/>
        </w:tcBorders>
      </w:tc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9DBCB" w:fill="F9DBCB" w:themeFill="accent2" w:themeFillTint="40"/>
      </w:tcPr>
    </w:tblStylePr>
    <w:tblStylePr w:type="band1Horz">
      <w:rPr>
        <w:color w:val="F2AA85" w:themeColor="accent2" w:themeTint="97" w:themeShade="95"/>
        <w:sz w:val="22"/>
      </w:rPr>
      <w:tblPr/>
      <w:tcPr>
        <w:shd w:val="clear" w:color="F9DBCB" w:fill="F9DBCB" w:themeFill="accent2" w:themeFillTint="40"/>
      </w:tcPr>
    </w:tblStylePr>
    <w:tblStylePr w:type="band2Horz">
      <w:rPr>
        <w:color w:val="F2AA85" w:themeColor="accent2" w:themeTint="97" w:themeShade="95"/>
        <w:sz w:val="22"/>
      </w:rPr>
    </w:tblStylePr>
  </w:style>
  <w:style w:type="table" w:styleId="ListTable6Colorful-Accent3">
    <w:name w:val="List Table 6 Colorful Accent 3"/>
    <w:basedOn w:val="TableNormal"/>
    <w:uiPriority w:val="99"/>
    <w:tblPr>
      <w:tblStyleRowBandSize w:val="1"/>
      <w:tblStyleColBandSize w:val="1"/>
      <w:tblBorders>
        <w:top w:val="single" w:sz="4" w:space="0" w:color="48D45B" w:themeColor="accent3" w:themeTint="98"/>
        <w:bottom w:val="single" w:sz="4" w:space="0" w:color="48D45B" w:themeColor="accent3" w:themeTint="98"/>
      </w:tblBorders>
    </w:tblPr>
    <w:tblStylePr w:type="firstRow">
      <w:rPr>
        <w:b/>
        <w:color w:val="48D45B" w:themeColor="accent3" w:themeTint="98" w:themeShade="95"/>
      </w:rPr>
      <w:tblPr/>
      <w:tcPr>
        <w:tcBorders>
          <w:bottom w:val="single" w:sz="4" w:space="0" w:color="196B24" w:themeColor="accent3"/>
        </w:tcBorders>
      </w:tcPr>
    </w:tblStylePr>
    <w:tblStylePr w:type="lastRow">
      <w:rPr>
        <w:b/>
        <w:color w:val="48D45B" w:themeColor="accent3" w:themeTint="98" w:themeShade="95"/>
      </w:rPr>
      <w:tblPr/>
      <w:tcPr>
        <w:tcBorders>
          <w:top w:val="single" w:sz="4" w:space="0" w:color="196B24" w:themeColor="accent3"/>
        </w:tcBorders>
      </w:tcPr>
    </w:tblStylePr>
    <w:tblStylePr w:type="firstCol">
      <w:rPr>
        <w:b/>
        <w:color w:val="48D45B" w:themeColor="accent3" w:themeTint="98" w:themeShade="95"/>
      </w:rPr>
    </w:tblStylePr>
    <w:tblStylePr w:type="lastCol">
      <w:rPr>
        <w:b/>
        <w:color w:val="48D45B" w:themeColor="accent3" w:themeTint="98" w:themeShade="95"/>
      </w:rPr>
    </w:tblStylePr>
    <w:tblStylePr w:type="band1Vert">
      <w:tblPr/>
      <w:tcPr>
        <w:shd w:val="clear" w:color="B2EDB9" w:fill="B2EDB9" w:themeFill="accent3" w:themeFillTint="40"/>
      </w:tcPr>
    </w:tblStylePr>
    <w:tblStylePr w:type="band1Horz">
      <w:rPr>
        <w:color w:val="48D45B" w:themeColor="accent3" w:themeTint="98" w:themeShade="95"/>
        <w:sz w:val="22"/>
      </w:rPr>
      <w:tblPr/>
      <w:tcPr>
        <w:shd w:val="clear" w:color="B2EDB9" w:fill="B2EDB9" w:themeFill="accent3" w:themeFillTint="40"/>
      </w:tcPr>
    </w:tblStylePr>
    <w:tblStylePr w:type="band2Horz">
      <w:rPr>
        <w:color w:val="48D45B" w:themeColor="accent3" w:themeTint="98" w:themeShade="95"/>
        <w:sz w:val="22"/>
      </w:rPr>
    </w:tblStylePr>
  </w:style>
  <w:style w:type="table" w:styleId="ListTable6Colorful-Accent4">
    <w:name w:val="List Table 6 Colorful Accent 4"/>
    <w:basedOn w:val="TableNormal"/>
    <w:uiPriority w:val="99"/>
    <w:tblPr>
      <w:tblStyleRowBandSize w:val="1"/>
      <w:tblStyleColBandSize w:val="1"/>
      <w:tblBorders>
        <w:top w:val="single" w:sz="4" w:space="0" w:color="5FCAF3" w:themeColor="accent4" w:themeTint="9A"/>
        <w:bottom w:val="single" w:sz="4" w:space="0" w:color="5FCAF3" w:themeColor="accent4" w:themeTint="9A"/>
      </w:tblBorders>
    </w:tblPr>
    <w:tblStylePr w:type="firstRow">
      <w:rPr>
        <w:b/>
        <w:color w:val="5FCAF3" w:themeColor="accent4" w:themeTint="9A" w:themeShade="95"/>
      </w:rPr>
      <w:tblPr/>
      <w:tcPr>
        <w:tcBorders>
          <w:bottom w:val="single" w:sz="4" w:space="0" w:color="0F9ED5" w:themeColor="accent4"/>
        </w:tcBorders>
      </w:tcPr>
    </w:tblStylePr>
    <w:tblStylePr w:type="lastRow">
      <w:rPr>
        <w:b/>
        <w:color w:val="5FCAF3" w:themeColor="accent4" w:themeTint="9A" w:themeShade="95"/>
      </w:rPr>
      <w:tblPr/>
      <w:tcPr>
        <w:tcBorders>
          <w:top w:val="single" w:sz="4" w:space="0" w:color="0F9ED5" w:themeColor="accent4"/>
        </w:tcBorders>
      </w:tc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BCE9FA" w:fill="BCE9FA" w:themeFill="accent4" w:themeFillTint="40"/>
      </w:tcPr>
    </w:tblStylePr>
    <w:tblStylePr w:type="band1Horz">
      <w:rPr>
        <w:color w:val="5FCAF3" w:themeColor="accent4" w:themeTint="9A" w:themeShade="95"/>
        <w:sz w:val="22"/>
      </w:rPr>
      <w:tblPr/>
      <w:tcPr>
        <w:shd w:val="clear" w:color="BCE9FA" w:fill="BCE9FA" w:themeFill="accent4" w:themeFillTint="40"/>
      </w:tcPr>
    </w:tblStylePr>
    <w:tblStylePr w:type="band2Horz">
      <w:rPr>
        <w:color w:val="5FCAF3" w:themeColor="accent4" w:themeTint="9A" w:themeShade="95"/>
        <w:sz w:val="22"/>
      </w:rPr>
    </w:tblStylePr>
  </w:style>
  <w:style w:type="table" w:styleId="ListTable6Colorful-Accent5">
    <w:name w:val="List Table 6 Colorful Accent 5"/>
    <w:basedOn w:val="TableNormal"/>
    <w:uiPriority w:val="99"/>
    <w:tblPr>
      <w:tblStyleRowBandSize w:val="1"/>
      <w:tblStyleColBandSize w:val="1"/>
      <w:tblBorders>
        <w:top w:val="single" w:sz="4" w:space="0" w:color="D76CCB" w:themeColor="accent5" w:themeTint="9A"/>
        <w:bottom w:val="single" w:sz="4" w:space="0" w:color="D76CCB" w:themeColor="accent5" w:themeTint="9A"/>
      </w:tblBorders>
    </w:tblPr>
    <w:tblStylePr w:type="firstRow">
      <w:rPr>
        <w:b/>
        <w:color w:val="D76CCB" w:themeColor="accent5" w:themeTint="9A" w:themeShade="95"/>
      </w:rPr>
      <w:tblPr/>
      <w:tcPr>
        <w:tcBorders>
          <w:bottom w:val="single" w:sz="4" w:space="0" w:color="A02B93" w:themeColor="accent5"/>
        </w:tcBorders>
      </w:tcPr>
    </w:tblStylePr>
    <w:tblStylePr w:type="lastRow">
      <w:rPr>
        <w:b/>
        <w:color w:val="D76CCB" w:themeColor="accent5" w:themeTint="9A" w:themeShade="95"/>
      </w:rPr>
      <w:tblPr/>
      <w:tcPr>
        <w:tcBorders>
          <w:top w:val="single" w:sz="4" w:space="0" w:color="A02B93" w:themeColor="accent5"/>
        </w:tcBorders>
      </w:tcPr>
    </w:tblStylePr>
    <w:tblStylePr w:type="firstCol">
      <w:rPr>
        <w:b/>
        <w:color w:val="D76CCB" w:themeColor="accent5" w:themeTint="9A" w:themeShade="95"/>
      </w:rPr>
    </w:tblStylePr>
    <w:tblStylePr w:type="lastCol">
      <w:rPr>
        <w:b/>
        <w:color w:val="D76CCB" w:themeColor="accent5" w:themeTint="9A" w:themeShade="95"/>
      </w:rPr>
    </w:tblStylePr>
    <w:tblStylePr w:type="band1Vert">
      <w:tblPr/>
      <w:tcPr>
        <w:shd w:val="clear" w:color="EEC2E9" w:fill="EEC2E9" w:themeFill="accent5" w:themeFillTint="40"/>
      </w:tcPr>
    </w:tblStylePr>
    <w:tblStylePr w:type="band1Horz">
      <w:rPr>
        <w:color w:val="D76CCB" w:themeColor="accent5" w:themeTint="9A" w:themeShade="95"/>
        <w:sz w:val="22"/>
      </w:rPr>
      <w:tblPr/>
      <w:tcPr>
        <w:shd w:val="clear" w:color="EEC2E9" w:fill="EEC2E9" w:themeFill="accent5" w:themeFillTint="40"/>
      </w:tcPr>
    </w:tblStylePr>
    <w:tblStylePr w:type="band2Horz">
      <w:rPr>
        <w:color w:val="D76CCB" w:themeColor="accent5" w:themeTint="9A" w:themeShade="95"/>
        <w:sz w:val="22"/>
      </w:rPr>
    </w:tblStylePr>
  </w:style>
  <w:style w:type="table" w:styleId="ListTable6Colorful-Accent6">
    <w:name w:val="List Table 6 Colorful Accent 6"/>
    <w:basedOn w:val="TableNormal"/>
    <w:uiPriority w:val="99"/>
    <w:tblPr>
      <w:tblStyleRowBandSize w:val="1"/>
      <w:tblStyleColBandSize w:val="1"/>
      <w:tblBorders>
        <w:top w:val="single" w:sz="4" w:space="0" w:color="8ED873" w:themeColor="accent6" w:themeTint="98"/>
        <w:bottom w:val="single" w:sz="4" w:space="0" w:color="8ED873" w:themeColor="accent6" w:themeTint="98"/>
      </w:tblBorders>
    </w:tblPr>
    <w:tblStylePr w:type="firstRow">
      <w:rPr>
        <w:b/>
        <w:color w:val="8ED873" w:themeColor="accent6" w:themeTint="98" w:themeShade="95"/>
      </w:rPr>
      <w:tblPr/>
      <w:tcPr>
        <w:tcBorders>
          <w:bottom w:val="single" w:sz="4" w:space="0" w:color="4EA72E" w:themeColor="accent6"/>
        </w:tcBorders>
      </w:tcPr>
    </w:tblStylePr>
    <w:tblStylePr w:type="lastRow">
      <w:rPr>
        <w:b/>
        <w:color w:val="8ED873" w:themeColor="accent6" w:themeTint="98" w:themeShade="95"/>
      </w:rPr>
      <w:tblPr/>
      <w:tcPr>
        <w:tcBorders>
          <w:top w:val="single" w:sz="4" w:space="0" w:color="4EA72E" w:themeColor="accent6"/>
        </w:tcBorders>
      </w:tcPr>
    </w:tblStylePr>
    <w:tblStylePr w:type="firstCol">
      <w:rPr>
        <w:b/>
        <w:color w:val="8ED873" w:themeColor="accent6" w:themeTint="98" w:themeShade="95"/>
      </w:rPr>
    </w:tblStylePr>
    <w:tblStylePr w:type="lastCol">
      <w:rPr>
        <w:b/>
        <w:color w:val="8ED873" w:themeColor="accent6" w:themeTint="98" w:themeShade="95"/>
      </w:rPr>
    </w:tblStylePr>
    <w:tblStylePr w:type="band1Vert">
      <w:tblPr/>
      <w:tcPr>
        <w:shd w:val="clear" w:color="CFEFC4" w:fill="CFEFC4" w:themeFill="accent6" w:themeFillTint="40"/>
      </w:tcPr>
    </w:tblStylePr>
    <w:tblStylePr w:type="band1Horz">
      <w:rPr>
        <w:color w:val="8ED873" w:themeColor="accent6" w:themeTint="98" w:themeShade="95"/>
        <w:sz w:val="22"/>
      </w:rPr>
      <w:tblPr/>
      <w:tcPr>
        <w:shd w:val="clear" w:color="CFEFC4" w:fill="CFEFC4" w:themeFill="accent6" w:themeFillTint="40"/>
      </w:tcPr>
    </w:tblStylePr>
    <w:tblStylePr w:type="band2Horz">
      <w:rPr>
        <w:color w:val="8ED873" w:themeColor="accent6" w:themeTint="98" w:themeShade="95"/>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i/>
        <w:color w:val="7F7F7F" w:themeColor="text1" w:themeTint="80" w:themeShade="95"/>
        <w:sz w:val="22"/>
      </w:rPr>
      <w:tblPr/>
      <w:tcPr>
        <w:tcBorders>
          <w:top w:val="none" w:sz="0" w:space="0" w:color="auto"/>
          <w:left w:val="none" w:sz="0" w:space="0" w:color="auto"/>
          <w:bottom w:val="single" w:sz="4" w:space="0" w:color="000000" w:themeColor="text1"/>
          <w:right w:val="none" w:sz="0" w:space="0" w:color="auto"/>
        </w:tcBorders>
        <w:shd w:val="clear" w:color="FFFFFF" w:fill="FFFFFF" w:themeFill="light1"/>
      </w:tcPr>
    </w:tblStylePr>
    <w:tblStylePr w:type="lastRow">
      <w:rPr>
        <w:i/>
        <w:color w:val="7F7F7F" w:themeColor="text1" w:themeTint="80" w:themeShade="95"/>
        <w:sz w:val="22"/>
      </w:rPr>
      <w:tblPr/>
      <w:tcPr>
        <w:tcBorders>
          <w:top w:val="single" w:sz="4" w:space="0" w:color="000000" w:themeColor="text1"/>
          <w:left w:val="none" w:sz="0" w:space="0" w:color="auto"/>
          <w:bottom w:val="none" w:sz="0" w:space="0" w:color="auto"/>
          <w:right w:val="none" w:sz="0" w:space="0" w:color="auto"/>
        </w:tcBorders>
        <w:shd w:val="clear" w:color="FFFFFF" w:fill="FFFFFF" w:themeFill="light1"/>
      </w:tcPr>
    </w:tblStylePr>
    <w:tblStylePr w:type="firstCol">
      <w:pPr>
        <w:jc w:val="right"/>
      </w:pPr>
      <w:rPr>
        <w:i/>
        <w:color w:val="7F7F7F" w:themeColor="text1" w:themeTint="80" w:themeShade="95"/>
        <w:sz w:val="22"/>
      </w:rPr>
      <w:tblPr/>
      <w:tcPr>
        <w:tcBorders>
          <w:top w:val="none" w:sz="0" w:space="0" w:color="auto"/>
          <w:left w:val="none" w:sz="0" w:space="0" w:color="auto"/>
          <w:bottom w:val="none" w:sz="0" w:space="0" w:color="auto"/>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0" w:space="0" w:color="auto"/>
          <w:left w:val="single" w:sz="4" w:space="0" w:color="000000" w:themeColor="text1"/>
          <w:bottom w:val="none" w:sz="0" w:space="0" w:color="auto"/>
          <w:right w:val="none" w:sz="0" w:space="0" w:color="auto"/>
        </w:tcBorders>
        <w:shd w:val="clear" w:color="FFFFFF" w:fill="auto"/>
      </w:tcPr>
    </w:tblStylePr>
    <w:tblStylePr w:type="band1Vert">
      <w:tblPr/>
      <w:tcPr>
        <w:shd w:val="clear" w:color="BFBFBF" w:fill="BFBFBF" w:themeFill="text1" w:themeFillTint="40"/>
      </w:tcPr>
    </w:tblStylePr>
    <w:tblStylePr w:type="band1Horz">
      <w:rPr>
        <w:color w:val="7F7F7F" w:themeColor="text1" w:themeTint="80" w:themeShade="95"/>
        <w:sz w:val="22"/>
      </w:rPr>
      <w:tblPr/>
      <w:tcPr>
        <w:shd w:val="clear" w:color="BFBFBF" w:fill="BFBFBF" w:themeFill="text1" w:themeFillTint="40"/>
      </w:tcPr>
    </w:tblStylePr>
    <w:tblStylePr w:type="band2Horz">
      <w:rPr>
        <w:color w:val="7F7F7F" w:themeColor="text1" w:themeTint="80" w:themeShade="95"/>
        <w:sz w:val="22"/>
      </w:rPr>
    </w:tblStylePr>
  </w:style>
  <w:style w:type="table" w:styleId="ListTable7Colorful-Accent1">
    <w:name w:val="List Table 7 Colorful Accent 1"/>
    <w:basedOn w:val="TableNormal"/>
    <w:uiPriority w:val="99"/>
    <w:tblPr>
      <w:tblStyleRowBandSize w:val="1"/>
      <w:tblStyleColBandSize w:val="1"/>
      <w:tblBorders>
        <w:right w:val="single" w:sz="4" w:space="0" w:color="156082" w:themeColor="accent1"/>
      </w:tblBorders>
    </w:tblPr>
    <w:tblStylePr w:type="firstRow">
      <w:rPr>
        <w:i/>
        <w:color w:val="0C374B" w:themeColor="accent1" w:themeShade="95"/>
        <w:sz w:val="22"/>
      </w:rPr>
      <w:tblPr/>
      <w:tcPr>
        <w:tcBorders>
          <w:top w:val="none" w:sz="0" w:space="0" w:color="auto"/>
          <w:left w:val="none" w:sz="0" w:space="0" w:color="auto"/>
          <w:bottom w:val="single" w:sz="4" w:space="0" w:color="156082" w:themeColor="accent1"/>
          <w:right w:val="none" w:sz="0" w:space="0" w:color="auto"/>
        </w:tcBorders>
        <w:shd w:val="clear" w:color="FFFFFF" w:fill="FFFFFF" w:themeFill="light1"/>
      </w:tcPr>
    </w:tblStylePr>
    <w:tblStylePr w:type="lastRow">
      <w:rPr>
        <w:i/>
        <w:color w:val="0C374B" w:themeColor="accent1" w:themeShade="95"/>
        <w:sz w:val="22"/>
      </w:rPr>
      <w:tblPr/>
      <w:tcPr>
        <w:tcBorders>
          <w:top w:val="single" w:sz="4" w:space="0" w:color="156082"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i/>
        <w:color w:val="0C374B" w:themeColor="accent1" w:themeShade="95"/>
        <w:sz w:val="22"/>
      </w:rPr>
      <w:tblPr/>
      <w:tcPr>
        <w:tcBorders>
          <w:top w:val="none" w:sz="0" w:space="0" w:color="auto"/>
          <w:left w:val="none" w:sz="0" w:space="0" w:color="auto"/>
          <w:bottom w:val="none" w:sz="0" w:space="0" w:color="auto"/>
          <w:right w:val="single" w:sz="4" w:space="0" w:color="156082" w:themeColor="accent1"/>
        </w:tcBorders>
        <w:shd w:val="clear" w:color="FFFFFF" w:fill="auto"/>
      </w:tcPr>
    </w:tblStylePr>
    <w:tblStylePr w:type="lastCol">
      <w:rPr>
        <w:i/>
        <w:color w:val="0C374B" w:themeColor="accent1" w:themeShade="95"/>
        <w:sz w:val="22"/>
      </w:rPr>
      <w:tblPr/>
      <w:tcPr>
        <w:tcBorders>
          <w:top w:val="none" w:sz="0" w:space="0" w:color="auto"/>
          <w:left w:val="single" w:sz="4" w:space="0" w:color="156082" w:themeColor="accent1"/>
          <w:bottom w:val="none" w:sz="0" w:space="0" w:color="auto"/>
          <w:right w:val="none" w:sz="0" w:space="0" w:color="auto"/>
        </w:tcBorders>
        <w:shd w:val="clear" w:color="FFFFFF" w:fill="auto"/>
      </w:tcPr>
    </w:tblStylePr>
    <w:tblStylePr w:type="band1Vert">
      <w:tblPr/>
      <w:tcPr>
        <w:shd w:val="clear" w:color="B1DEF2" w:fill="B1DEF2" w:themeFill="accent1" w:themeFillTint="40"/>
      </w:tcPr>
    </w:tblStylePr>
    <w:tblStylePr w:type="band1Horz">
      <w:rPr>
        <w:color w:val="0C374B" w:themeColor="accent1" w:themeShade="95"/>
        <w:sz w:val="22"/>
      </w:rPr>
      <w:tblPr/>
      <w:tcPr>
        <w:shd w:val="clear" w:color="B1DEF2" w:fill="B1DEF2" w:themeFill="accent1" w:themeFillTint="40"/>
      </w:tcPr>
    </w:tblStylePr>
    <w:tblStylePr w:type="band2Horz">
      <w:rPr>
        <w:color w:val="0C374B" w:themeColor="accent1" w:themeShade="95"/>
        <w:sz w:val="22"/>
      </w:rPr>
    </w:tblStylePr>
  </w:style>
  <w:style w:type="table" w:styleId="ListTable7Colorful-Accent2">
    <w:name w:val="List Table 7 Colorful Accent 2"/>
    <w:basedOn w:val="TableNormal"/>
    <w:uiPriority w:val="99"/>
    <w:tblPr>
      <w:tblStyleRowBandSize w:val="1"/>
      <w:tblStyleColBandSize w:val="1"/>
      <w:tblBorders>
        <w:right w:val="single" w:sz="4" w:space="0" w:color="F2AA85" w:themeColor="accent2" w:themeTint="97"/>
      </w:tblBorders>
    </w:tblPr>
    <w:tblStylePr w:type="firstRow">
      <w:rPr>
        <w:i/>
        <w:color w:val="F2AA85" w:themeColor="accent2" w:themeTint="97" w:themeShade="95"/>
        <w:sz w:val="22"/>
      </w:rPr>
      <w:tblPr/>
      <w:tcPr>
        <w:tcBorders>
          <w:top w:val="none" w:sz="0" w:space="0" w:color="auto"/>
          <w:left w:val="none" w:sz="0" w:space="0" w:color="auto"/>
          <w:bottom w:val="single" w:sz="4" w:space="0" w:color="E97132" w:themeColor="accent2"/>
          <w:right w:val="none" w:sz="0" w:space="0" w:color="auto"/>
        </w:tcBorders>
        <w:shd w:val="clear" w:color="FFFFFF" w:fill="FFFFFF" w:themeFill="light1"/>
      </w:tcPr>
    </w:tblStylePr>
    <w:tblStylePr w:type="lastRow">
      <w:rPr>
        <w:i/>
        <w:color w:val="F2AA85" w:themeColor="accent2" w:themeTint="97" w:themeShade="95"/>
        <w:sz w:val="22"/>
      </w:rPr>
      <w:tblPr/>
      <w:tcPr>
        <w:tcBorders>
          <w:top w:val="single" w:sz="4" w:space="0" w:color="E97132" w:themeColor="accent2"/>
          <w:left w:val="none" w:sz="0" w:space="0" w:color="auto"/>
          <w:bottom w:val="none" w:sz="0" w:space="0" w:color="auto"/>
          <w:right w:val="none" w:sz="0" w:space="0" w:color="auto"/>
        </w:tcBorders>
        <w:shd w:val="clear" w:color="FFFFFF" w:fill="FFFFFF" w:themeFill="light1"/>
      </w:tcPr>
    </w:tblStylePr>
    <w:tblStylePr w:type="firstCol">
      <w:pPr>
        <w:jc w:val="right"/>
      </w:pPr>
      <w:rPr>
        <w:i/>
        <w:color w:val="F2AA85" w:themeColor="accent2" w:themeTint="97" w:themeShade="95"/>
        <w:sz w:val="22"/>
      </w:rPr>
      <w:tblPr/>
      <w:tcPr>
        <w:tcBorders>
          <w:top w:val="none" w:sz="0" w:space="0" w:color="auto"/>
          <w:left w:val="none" w:sz="0" w:space="0" w:color="auto"/>
          <w:bottom w:val="none" w:sz="0" w:space="0" w:color="auto"/>
          <w:right w:val="single" w:sz="4" w:space="0" w:color="E97132" w:themeColor="accent2"/>
        </w:tcBorders>
        <w:shd w:val="clear" w:color="FFFFFF" w:fill="auto"/>
      </w:tcPr>
    </w:tblStylePr>
    <w:tblStylePr w:type="lastCol">
      <w:rPr>
        <w:i/>
        <w:color w:val="F2AA85" w:themeColor="accent2" w:themeTint="97" w:themeShade="95"/>
        <w:sz w:val="22"/>
      </w:rPr>
      <w:tblPr/>
      <w:tcPr>
        <w:tcBorders>
          <w:top w:val="none" w:sz="0" w:space="0" w:color="auto"/>
          <w:left w:val="single" w:sz="4" w:space="0" w:color="E97132" w:themeColor="accent2"/>
          <w:bottom w:val="none" w:sz="0" w:space="0" w:color="auto"/>
          <w:right w:val="none" w:sz="0" w:space="0" w:color="auto"/>
        </w:tcBorders>
        <w:shd w:val="clear" w:color="FFFFFF" w:fill="auto"/>
      </w:tcPr>
    </w:tblStylePr>
    <w:tblStylePr w:type="band1Vert">
      <w:tblPr/>
      <w:tcPr>
        <w:shd w:val="clear" w:color="F9DBCB" w:fill="F9DBCB" w:themeFill="accent2" w:themeFillTint="40"/>
      </w:tcPr>
    </w:tblStylePr>
    <w:tblStylePr w:type="band1Horz">
      <w:rPr>
        <w:color w:val="F2AA85" w:themeColor="accent2" w:themeTint="97" w:themeShade="95"/>
        <w:sz w:val="22"/>
      </w:rPr>
      <w:tblPr/>
      <w:tcPr>
        <w:shd w:val="clear" w:color="F9DBCB" w:fill="F9DBCB" w:themeFill="accent2" w:themeFillTint="40"/>
      </w:tcPr>
    </w:tblStylePr>
    <w:tblStylePr w:type="band2Horz">
      <w:rPr>
        <w:color w:val="F2AA85" w:themeColor="accent2" w:themeTint="97" w:themeShade="95"/>
        <w:sz w:val="22"/>
      </w:rPr>
    </w:tblStylePr>
  </w:style>
  <w:style w:type="table" w:styleId="ListTable7Colorful-Accent3">
    <w:name w:val="List Table 7 Colorful Accent 3"/>
    <w:basedOn w:val="TableNormal"/>
    <w:uiPriority w:val="99"/>
    <w:tblPr>
      <w:tblStyleRowBandSize w:val="1"/>
      <w:tblStyleColBandSize w:val="1"/>
      <w:tblBorders>
        <w:right w:val="single" w:sz="4" w:space="0" w:color="48D45B" w:themeColor="accent3" w:themeTint="98"/>
      </w:tblBorders>
    </w:tblPr>
    <w:tblStylePr w:type="firstRow">
      <w:rPr>
        <w:i/>
        <w:color w:val="48D45B" w:themeColor="accent3" w:themeTint="98" w:themeShade="95"/>
        <w:sz w:val="22"/>
      </w:rPr>
      <w:tblPr/>
      <w:tcPr>
        <w:tcBorders>
          <w:top w:val="none" w:sz="0" w:space="0" w:color="auto"/>
          <w:left w:val="none" w:sz="0" w:space="0" w:color="auto"/>
          <w:bottom w:val="single" w:sz="4" w:space="0" w:color="196B24" w:themeColor="accent3"/>
          <w:right w:val="none" w:sz="0" w:space="0" w:color="auto"/>
        </w:tcBorders>
        <w:shd w:val="clear" w:color="FFFFFF" w:fill="FFFFFF" w:themeFill="light1"/>
      </w:tcPr>
    </w:tblStylePr>
    <w:tblStylePr w:type="lastRow">
      <w:rPr>
        <w:i/>
        <w:color w:val="48D45B" w:themeColor="accent3" w:themeTint="98" w:themeShade="95"/>
        <w:sz w:val="22"/>
      </w:rPr>
      <w:tblPr/>
      <w:tcPr>
        <w:tcBorders>
          <w:top w:val="single" w:sz="4" w:space="0" w:color="196B24" w:themeColor="accent3"/>
          <w:left w:val="none" w:sz="0" w:space="0" w:color="auto"/>
          <w:bottom w:val="none" w:sz="0" w:space="0" w:color="auto"/>
          <w:right w:val="none" w:sz="0" w:space="0" w:color="auto"/>
        </w:tcBorders>
        <w:shd w:val="clear" w:color="FFFFFF" w:fill="FFFFFF" w:themeFill="light1"/>
      </w:tcPr>
    </w:tblStylePr>
    <w:tblStylePr w:type="firstCol">
      <w:pPr>
        <w:jc w:val="right"/>
      </w:pPr>
      <w:rPr>
        <w:i/>
        <w:color w:val="48D45B" w:themeColor="accent3" w:themeTint="98" w:themeShade="95"/>
        <w:sz w:val="22"/>
      </w:rPr>
      <w:tblPr/>
      <w:tcPr>
        <w:tcBorders>
          <w:top w:val="none" w:sz="0" w:space="0" w:color="auto"/>
          <w:left w:val="none" w:sz="0" w:space="0" w:color="auto"/>
          <w:bottom w:val="none" w:sz="0" w:space="0" w:color="auto"/>
          <w:right w:val="single" w:sz="4" w:space="0" w:color="196B24" w:themeColor="accent3"/>
        </w:tcBorders>
        <w:shd w:val="clear" w:color="FFFFFF" w:fill="auto"/>
      </w:tcPr>
    </w:tblStylePr>
    <w:tblStylePr w:type="lastCol">
      <w:rPr>
        <w:i/>
        <w:color w:val="48D45B" w:themeColor="accent3" w:themeTint="98" w:themeShade="95"/>
        <w:sz w:val="22"/>
      </w:rPr>
      <w:tblPr/>
      <w:tcPr>
        <w:tcBorders>
          <w:top w:val="none" w:sz="0" w:space="0" w:color="auto"/>
          <w:left w:val="single" w:sz="4" w:space="0" w:color="196B24" w:themeColor="accent3"/>
          <w:bottom w:val="none" w:sz="0" w:space="0" w:color="auto"/>
          <w:right w:val="none" w:sz="0" w:space="0" w:color="auto"/>
        </w:tcBorders>
        <w:shd w:val="clear" w:color="FFFFFF" w:fill="auto"/>
      </w:tcPr>
    </w:tblStylePr>
    <w:tblStylePr w:type="band1Vert">
      <w:tblPr/>
      <w:tcPr>
        <w:shd w:val="clear" w:color="B2EDB9" w:fill="B2EDB9" w:themeFill="accent3" w:themeFillTint="40"/>
      </w:tcPr>
    </w:tblStylePr>
    <w:tblStylePr w:type="band1Horz">
      <w:rPr>
        <w:color w:val="48D45B" w:themeColor="accent3" w:themeTint="98" w:themeShade="95"/>
        <w:sz w:val="22"/>
      </w:rPr>
      <w:tblPr/>
      <w:tcPr>
        <w:shd w:val="clear" w:color="B2EDB9" w:fill="B2EDB9" w:themeFill="accent3" w:themeFillTint="40"/>
      </w:tcPr>
    </w:tblStylePr>
    <w:tblStylePr w:type="band2Horz">
      <w:rPr>
        <w:color w:val="48D45B" w:themeColor="accent3" w:themeTint="98" w:themeShade="95"/>
        <w:sz w:val="22"/>
      </w:rPr>
    </w:tblStylePr>
  </w:style>
  <w:style w:type="table" w:styleId="ListTable7Colorful-Accent4">
    <w:name w:val="List Table 7 Colorful Accent 4"/>
    <w:basedOn w:val="TableNormal"/>
    <w:uiPriority w:val="99"/>
    <w:tblPr>
      <w:tblStyleRowBandSize w:val="1"/>
      <w:tblStyleColBandSize w:val="1"/>
      <w:tblBorders>
        <w:right w:val="single" w:sz="4" w:space="0" w:color="5FCAF3" w:themeColor="accent4" w:themeTint="9A"/>
      </w:tblBorders>
    </w:tblPr>
    <w:tblStylePr w:type="firstRow">
      <w:rPr>
        <w:i/>
        <w:color w:val="5FCAF3" w:themeColor="accent4" w:themeTint="9A" w:themeShade="95"/>
        <w:sz w:val="22"/>
      </w:rPr>
      <w:tblPr/>
      <w:tcPr>
        <w:tcBorders>
          <w:top w:val="none" w:sz="0" w:space="0" w:color="auto"/>
          <w:left w:val="none" w:sz="0" w:space="0" w:color="auto"/>
          <w:bottom w:val="single" w:sz="4" w:space="0" w:color="0F9ED5" w:themeColor="accent4"/>
          <w:right w:val="none" w:sz="0" w:space="0" w:color="auto"/>
        </w:tcBorders>
        <w:shd w:val="clear" w:color="FFFFFF" w:fill="FFFFFF" w:themeFill="light1"/>
      </w:tcPr>
    </w:tblStylePr>
    <w:tblStylePr w:type="lastRow">
      <w:rPr>
        <w:i/>
        <w:color w:val="5FCAF3" w:themeColor="accent4" w:themeTint="9A" w:themeShade="95"/>
        <w:sz w:val="22"/>
      </w:rPr>
      <w:tblPr/>
      <w:tcPr>
        <w:tcBorders>
          <w:top w:val="single" w:sz="4" w:space="0" w:color="0F9ED5" w:themeColor="accent4"/>
          <w:left w:val="none" w:sz="0" w:space="0" w:color="auto"/>
          <w:bottom w:val="none" w:sz="0" w:space="0" w:color="auto"/>
          <w:right w:val="none" w:sz="0" w:space="0" w:color="auto"/>
        </w:tcBorders>
        <w:shd w:val="clear" w:color="FFFFFF" w:fill="FFFFFF" w:themeFill="light1"/>
      </w:tcPr>
    </w:tblStylePr>
    <w:tblStylePr w:type="firstCol">
      <w:pPr>
        <w:jc w:val="right"/>
      </w:pPr>
      <w:rPr>
        <w:i/>
        <w:color w:val="5FCAF3" w:themeColor="accent4" w:themeTint="9A" w:themeShade="95"/>
        <w:sz w:val="22"/>
      </w:rPr>
      <w:tblPr/>
      <w:tcPr>
        <w:tcBorders>
          <w:top w:val="none" w:sz="0" w:space="0" w:color="auto"/>
          <w:left w:val="none" w:sz="0" w:space="0" w:color="auto"/>
          <w:bottom w:val="none" w:sz="0" w:space="0" w:color="auto"/>
          <w:right w:val="single" w:sz="4" w:space="0" w:color="0F9ED5" w:themeColor="accent4"/>
        </w:tcBorders>
        <w:shd w:val="clear" w:color="FFFFFF" w:fill="auto"/>
      </w:tcPr>
    </w:tblStylePr>
    <w:tblStylePr w:type="lastCol">
      <w:rPr>
        <w:i/>
        <w:color w:val="5FCAF3" w:themeColor="accent4" w:themeTint="9A" w:themeShade="95"/>
        <w:sz w:val="22"/>
      </w:rPr>
      <w:tblPr/>
      <w:tcPr>
        <w:tcBorders>
          <w:top w:val="none" w:sz="0" w:space="0" w:color="auto"/>
          <w:left w:val="single" w:sz="4" w:space="0" w:color="0F9ED5" w:themeColor="accent4"/>
          <w:bottom w:val="none" w:sz="0" w:space="0" w:color="auto"/>
          <w:right w:val="none" w:sz="0" w:space="0" w:color="auto"/>
        </w:tcBorders>
        <w:shd w:val="clear" w:color="FFFFFF" w:fill="auto"/>
      </w:tcPr>
    </w:tblStylePr>
    <w:tblStylePr w:type="band1Vert">
      <w:tblPr/>
      <w:tcPr>
        <w:shd w:val="clear" w:color="BCE9FA" w:fill="BCE9FA" w:themeFill="accent4" w:themeFillTint="40"/>
      </w:tcPr>
    </w:tblStylePr>
    <w:tblStylePr w:type="band1Horz">
      <w:rPr>
        <w:color w:val="5FCAF3" w:themeColor="accent4" w:themeTint="9A" w:themeShade="95"/>
        <w:sz w:val="22"/>
      </w:rPr>
      <w:tblPr/>
      <w:tcPr>
        <w:shd w:val="clear" w:color="BCE9FA" w:fill="BCE9FA" w:themeFill="accent4" w:themeFillTint="40"/>
      </w:tcPr>
    </w:tblStylePr>
    <w:tblStylePr w:type="band2Horz">
      <w:rPr>
        <w:color w:val="5FCAF3" w:themeColor="accent4" w:themeTint="9A" w:themeShade="95"/>
        <w:sz w:val="22"/>
      </w:rPr>
    </w:tblStylePr>
  </w:style>
  <w:style w:type="table" w:styleId="ListTable7Colorful-Accent5">
    <w:name w:val="List Table 7 Colorful Accent 5"/>
    <w:basedOn w:val="TableNormal"/>
    <w:uiPriority w:val="99"/>
    <w:tblPr>
      <w:tblStyleRowBandSize w:val="1"/>
      <w:tblStyleColBandSize w:val="1"/>
      <w:tblBorders>
        <w:right w:val="single" w:sz="4" w:space="0" w:color="D76CCB" w:themeColor="accent5" w:themeTint="9A"/>
      </w:tblBorders>
    </w:tblPr>
    <w:tblStylePr w:type="firstRow">
      <w:rPr>
        <w:i/>
        <w:color w:val="D76CCB" w:themeColor="accent5" w:themeTint="9A" w:themeShade="95"/>
        <w:sz w:val="22"/>
      </w:rPr>
      <w:tblPr/>
      <w:tcPr>
        <w:tcBorders>
          <w:top w:val="none" w:sz="0" w:space="0" w:color="auto"/>
          <w:left w:val="none" w:sz="0" w:space="0" w:color="auto"/>
          <w:bottom w:val="single" w:sz="4" w:space="0" w:color="A02B93" w:themeColor="accent5"/>
          <w:right w:val="none" w:sz="0" w:space="0" w:color="auto"/>
        </w:tcBorders>
        <w:shd w:val="clear" w:color="FFFFFF" w:fill="FFFFFF" w:themeFill="light1"/>
      </w:tcPr>
    </w:tblStylePr>
    <w:tblStylePr w:type="lastRow">
      <w:rPr>
        <w:i/>
        <w:color w:val="D76CCB" w:themeColor="accent5" w:themeTint="9A" w:themeShade="95"/>
        <w:sz w:val="22"/>
      </w:rPr>
      <w:tblPr/>
      <w:tcPr>
        <w:tcBorders>
          <w:top w:val="single" w:sz="4" w:space="0" w:color="A02B93" w:themeColor="accent5"/>
          <w:left w:val="none" w:sz="0" w:space="0" w:color="auto"/>
          <w:bottom w:val="none" w:sz="0" w:space="0" w:color="auto"/>
          <w:right w:val="none" w:sz="0" w:space="0" w:color="auto"/>
        </w:tcBorders>
        <w:shd w:val="clear" w:color="FFFFFF" w:fill="FFFFFF" w:themeFill="light1"/>
      </w:tcPr>
    </w:tblStylePr>
    <w:tblStylePr w:type="firstCol">
      <w:pPr>
        <w:jc w:val="right"/>
      </w:pPr>
      <w:rPr>
        <w:i/>
        <w:color w:val="D76CCB" w:themeColor="accent5" w:themeTint="9A" w:themeShade="95"/>
        <w:sz w:val="22"/>
      </w:rPr>
      <w:tblPr/>
      <w:tcPr>
        <w:tcBorders>
          <w:top w:val="none" w:sz="0" w:space="0" w:color="auto"/>
          <w:left w:val="none" w:sz="0" w:space="0" w:color="auto"/>
          <w:bottom w:val="none" w:sz="0" w:space="0" w:color="auto"/>
          <w:right w:val="single" w:sz="4" w:space="0" w:color="A02B93" w:themeColor="accent5"/>
        </w:tcBorders>
        <w:shd w:val="clear" w:color="FFFFFF" w:fill="auto"/>
      </w:tcPr>
    </w:tblStylePr>
    <w:tblStylePr w:type="lastCol">
      <w:rPr>
        <w:i/>
        <w:color w:val="D76CCB" w:themeColor="accent5" w:themeTint="9A" w:themeShade="95"/>
        <w:sz w:val="22"/>
      </w:rPr>
      <w:tblPr/>
      <w:tcPr>
        <w:tcBorders>
          <w:top w:val="none" w:sz="0" w:space="0" w:color="auto"/>
          <w:left w:val="single" w:sz="4" w:space="0" w:color="A02B93" w:themeColor="accent5"/>
          <w:bottom w:val="none" w:sz="0" w:space="0" w:color="auto"/>
          <w:right w:val="none" w:sz="0" w:space="0" w:color="auto"/>
        </w:tcBorders>
        <w:shd w:val="clear" w:color="FFFFFF" w:fill="auto"/>
      </w:tcPr>
    </w:tblStylePr>
    <w:tblStylePr w:type="band1Vert">
      <w:tblPr/>
      <w:tcPr>
        <w:shd w:val="clear" w:color="EEC2E9" w:fill="EEC2E9" w:themeFill="accent5" w:themeFillTint="40"/>
      </w:tcPr>
    </w:tblStylePr>
    <w:tblStylePr w:type="band1Horz">
      <w:rPr>
        <w:color w:val="D76CCB" w:themeColor="accent5" w:themeTint="9A" w:themeShade="95"/>
        <w:sz w:val="22"/>
      </w:rPr>
      <w:tblPr/>
      <w:tcPr>
        <w:shd w:val="clear" w:color="EEC2E9" w:fill="EEC2E9" w:themeFill="accent5" w:themeFillTint="40"/>
      </w:tcPr>
    </w:tblStylePr>
    <w:tblStylePr w:type="band2Horz">
      <w:rPr>
        <w:color w:val="D76CCB" w:themeColor="accent5" w:themeTint="9A" w:themeShade="95"/>
        <w:sz w:val="22"/>
      </w:rPr>
    </w:tblStylePr>
  </w:style>
  <w:style w:type="table" w:styleId="ListTable7Colorful-Accent6">
    <w:name w:val="List Table 7 Colorful Accent 6"/>
    <w:basedOn w:val="TableNormal"/>
    <w:uiPriority w:val="99"/>
    <w:tblPr>
      <w:tblStyleRowBandSize w:val="1"/>
      <w:tblStyleColBandSize w:val="1"/>
      <w:tblBorders>
        <w:right w:val="single" w:sz="4" w:space="0" w:color="8ED873" w:themeColor="accent6" w:themeTint="98"/>
      </w:tblBorders>
    </w:tblPr>
    <w:tblStylePr w:type="firstRow">
      <w:rPr>
        <w:i/>
        <w:color w:val="8ED873" w:themeColor="accent6" w:themeTint="98" w:themeShade="95"/>
        <w:sz w:val="22"/>
      </w:rPr>
      <w:tblPr/>
      <w:tcPr>
        <w:tcBorders>
          <w:top w:val="none" w:sz="0" w:space="0" w:color="auto"/>
          <w:left w:val="none" w:sz="0" w:space="0" w:color="auto"/>
          <w:bottom w:val="single" w:sz="4" w:space="0" w:color="4EA72E" w:themeColor="accent6"/>
          <w:right w:val="none" w:sz="0" w:space="0" w:color="auto"/>
        </w:tcBorders>
        <w:shd w:val="clear" w:color="FFFFFF" w:fill="FFFFFF" w:themeFill="light1"/>
      </w:tcPr>
    </w:tblStylePr>
    <w:tblStylePr w:type="lastRow">
      <w:rPr>
        <w:i/>
        <w:color w:val="8ED873" w:themeColor="accent6" w:themeTint="98" w:themeShade="95"/>
        <w:sz w:val="22"/>
      </w:rPr>
      <w:tblPr/>
      <w:tcPr>
        <w:tcBorders>
          <w:top w:val="single" w:sz="4" w:space="0" w:color="4EA72E" w:themeColor="accent6"/>
          <w:left w:val="none" w:sz="0" w:space="0" w:color="auto"/>
          <w:bottom w:val="none" w:sz="0" w:space="0" w:color="auto"/>
          <w:right w:val="none" w:sz="0" w:space="0" w:color="auto"/>
        </w:tcBorders>
        <w:shd w:val="clear" w:color="FFFFFF" w:fill="FFFFFF" w:themeFill="light1"/>
      </w:tcPr>
    </w:tblStylePr>
    <w:tblStylePr w:type="firstCol">
      <w:pPr>
        <w:jc w:val="right"/>
      </w:pPr>
      <w:rPr>
        <w:i/>
        <w:color w:val="8ED873" w:themeColor="accent6" w:themeTint="98" w:themeShade="95"/>
        <w:sz w:val="22"/>
      </w:rPr>
      <w:tblPr/>
      <w:tcPr>
        <w:tcBorders>
          <w:top w:val="none" w:sz="0" w:space="0" w:color="auto"/>
          <w:left w:val="none" w:sz="0" w:space="0" w:color="auto"/>
          <w:bottom w:val="none" w:sz="0" w:space="0" w:color="auto"/>
          <w:right w:val="single" w:sz="4" w:space="0" w:color="4EA72E" w:themeColor="accent6"/>
        </w:tcBorders>
        <w:shd w:val="clear" w:color="FFFFFF" w:fill="auto"/>
      </w:tcPr>
    </w:tblStylePr>
    <w:tblStylePr w:type="lastCol">
      <w:rPr>
        <w:i/>
        <w:color w:val="8ED873" w:themeColor="accent6" w:themeTint="98" w:themeShade="95"/>
        <w:sz w:val="22"/>
      </w:rPr>
      <w:tblPr/>
      <w:tcPr>
        <w:tcBorders>
          <w:top w:val="none" w:sz="0" w:space="0" w:color="auto"/>
          <w:left w:val="single" w:sz="4" w:space="0" w:color="4EA72E" w:themeColor="accent6"/>
          <w:bottom w:val="none" w:sz="0" w:space="0" w:color="auto"/>
          <w:right w:val="none" w:sz="0" w:space="0" w:color="auto"/>
        </w:tcBorders>
        <w:shd w:val="clear" w:color="FFFFFF" w:fill="auto"/>
      </w:tcPr>
    </w:tblStylePr>
    <w:tblStylePr w:type="band1Vert">
      <w:tblPr/>
      <w:tcPr>
        <w:shd w:val="clear" w:color="CFEFC4" w:fill="CFEFC4" w:themeFill="accent6" w:themeFillTint="40"/>
      </w:tcPr>
    </w:tblStylePr>
    <w:tblStylePr w:type="band1Horz">
      <w:rPr>
        <w:color w:val="8ED873" w:themeColor="accent6" w:themeTint="98" w:themeShade="95"/>
        <w:sz w:val="22"/>
      </w:rPr>
      <w:tblPr/>
      <w:tcPr>
        <w:shd w:val="clear" w:color="CFEFC4" w:fill="CFEFC4" w:themeFill="accent6" w:themeFillTint="40"/>
      </w:tcPr>
    </w:tblStylePr>
    <w:tblStylePr w:type="band2Horz">
      <w:rPr>
        <w:color w:val="8ED873" w:themeColor="accent6" w:themeTint="98" w:themeShade="95"/>
        <w:sz w:val="22"/>
      </w:rPr>
    </w:tblStylePr>
  </w:style>
  <w:style w:type="table" w:customStyle="1" w:styleId="Lined-Accent">
    <w:name w:val="Lined - Accent"/>
    <w:basedOn w:val="TableNormal"/>
    <w:uiPriority w:val="99"/>
    <w:rPr>
      <w:sz w:val="20"/>
      <w:szCs w:val="20"/>
    </w:rPr>
    <w:tblPr>
      <w:tblStyleRowBandSize w:val="1"/>
      <w:tblStyleColBandSize w:val="1"/>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StylePr>
    <w:tblStylePr w:type="band2Vert">
      <w:rPr>
        <w:sz w:val="22"/>
      </w:rPr>
      <w:tblPr/>
      <w:tcPr>
        <w:shd w:val="clear" w:color="F2F2F2" w:fill="F2F2F2" w:themeFill="text1" w:themeFillTint="0D"/>
      </w:tcPr>
    </w:tblStylePr>
    <w:tblStylePr w:type="band1Horz">
      <w:rPr>
        <w:sz w:val="22"/>
      </w:rPr>
    </w:tblStylePr>
    <w:tblStylePr w:type="band2Horz">
      <w:rPr>
        <w:sz w:val="22"/>
      </w:rPr>
      <w:tblPr/>
      <w:tcPr>
        <w:shd w:val="clear" w:color="F2F2F2" w:fill="F2F2F2" w:themeFill="text1" w:themeFillTint="0D"/>
      </w:tcPr>
    </w:tblStylePr>
  </w:style>
  <w:style w:type="table" w:customStyle="1" w:styleId="Lined-Accent1">
    <w:name w:val="Lined - Accent 1"/>
    <w:basedOn w:val="TableNormal"/>
    <w:uiPriority w:val="99"/>
    <w:rPr>
      <w:sz w:val="20"/>
      <w:szCs w:val="20"/>
    </w:rPr>
    <w:tblPr>
      <w:tblStyleRowBandSize w:val="1"/>
      <w:tblStyleColBandSize w:val="1"/>
    </w:tblPr>
    <w:tblStylePr w:type="firstRow">
      <w:rPr>
        <w:sz w:val="22"/>
      </w:rPr>
      <w:tblPr/>
      <w:tcPr>
        <w:shd w:val="clear" w:color="19729B" w:fill="19729B" w:themeFill="accent1" w:themeFillTint="EA"/>
      </w:tcPr>
    </w:tblStylePr>
    <w:tblStylePr w:type="lastRow">
      <w:rPr>
        <w:sz w:val="22"/>
      </w:rPr>
      <w:tblPr/>
      <w:tcPr>
        <w:shd w:val="clear" w:color="19729B" w:fill="19729B" w:themeFill="accent1" w:themeFillTint="EA"/>
      </w:tcPr>
    </w:tblStylePr>
    <w:tblStylePr w:type="firstCol">
      <w:rPr>
        <w:sz w:val="22"/>
      </w:rPr>
      <w:tblPr/>
      <w:tcPr>
        <w:shd w:val="clear" w:color="19729B" w:fill="19729B" w:themeFill="accent1" w:themeFillTint="EA"/>
      </w:tcPr>
    </w:tblStylePr>
    <w:tblStylePr w:type="lastCol">
      <w:rPr>
        <w:sz w:val="22"/>
      </w:rPr>
      <w:tblPr/>
      <w:tcPr>
        <w:shd w:val="clear" w:color="19729B" w:fill="19729B" w:themeFill="accent1" w:themeFillTint="EA"/>
      </w:tcPr>
    </w:tblStylePr>
    <w:tblStylePr w:type="band1Vert">
      <w:rPr>
        <w:sz w:val="22"/>
      </w:rPr>
    </w:tblStylePr>
    <w:tblStylePr w:type="band2Vert">
      <w:rPr>
        <w:sz w:val="22"/>
      </w:rPr>
      <w:tblPr/>
      <w:tcPr>
        <w:shd w:val="clear" w:color="9ED5EF" w:fill="9ED5EF" w:themeFill="accent1" w:themeFillTint="50"/>
      </w:tcPr>
    </w:tblStylePr>
    <w:tblStylePr w:type="band1Horz">
      <w:rPr>
        <w:sz w:val="22"/>
      </w:rPr>
    </w:tblStylePr>
    <w:tblStylePr w:type="band2Horz">
      <w:rPr>
        <w:sz w:val="22"/>
      </w:rPr>
      <w:tblPr/>
      <w:tcPr>
        <w:shd w:val="clear" w:color="9ED5EF" w:fill="9ED5EF" w:themeFill="accent1" w:themeFillTint="50"/>
      </w:tcPr>
    </w:tblStylePr>
  </w:style>
  <w:style w:type="table" w:customStyle="1" w:styleId="Lined-Accent2">
    <w:name w:val="Lined - Accent 2"/>
    <w:basedOn w:val="TableNormal"/>
    <w:uiPriority w:val="99"/>
    <w:rPr>
      <w:sz w:val="20"/>
      <w:szCs w:val="20"/>
    </w:rPr>
    <w:tblPr>
      <w:tblStyleRowBandSize w:val="1"/>
      <w:tblStyleColBandSize w:val="1"/>
    </w:tblPr>
    <w:tblStylePr w:type="firstRow">
      <w:rPr>
        <w:sz w:val="22"/>
      </w:rPr>
      <w:tblPr/>
      <w:tcPr>
        <w:shd w:val="clear" w:color="F2AA85" w:fill="F2AA85" w:themeFill="accent2" w:themeFillTint="97"/>
      </w:tcPr>
    </w:tblStylePr>
    <w:tblStylePr w:type="lastRow">
      <w:rPr>
        <w:sz w:val="22"/>
      </w:rPr>
      <w:tblPr/>
      <w:tcPr>
        <w:shd w:val="clear" w:color="F2AA85" w:fill="F2AA85" w:themeFill="accent2" w:themeFillTint="97"/>
      </w:tcPr>
    </w:tblStylePr>
    <w:tblStylePr w:type="firstCol">
      <w:rPr>
        <w:sz w:val="22"/>
      </w:rPr>
      <w:tblPr/>
      <w:tcPr>
        <w:shd w:val="clear" w:color="F2AA85" w:fill="F2AA85" w:themeFill="accent2" w:themeFillTint="97"/>
      </w:tcPr>
    </w:tblStylePr>
    <w:tblStylePr w:type="lastCol">
      <w:rPr>
        <w:sz w:val="22"/>
      </w:rPr>
      <w:tblPr/>
      <w:tcPr>
        <w:shd w:val="clear" w:color="F2AA85" w:fill="F2AA85" w:themeFill="accent2" w:themeFillTint="97"/>
      </w:tcPr>
    </w:tblStylePr>
    <w:tblStylePr w:type="band1Vert">
      <w:rPr>
        <w:sz w:val="22"/>
      </w:rPr>
    </w:tblStylePr>
    <w:tblStylePr w:type="band2Vert">
      <w:rPr>
        <w:sz w:val="22"/>
      </w:rPr>
      <w:tblPr/>
      <w:tcPr>
        <w:shd w:val="clear" w:color="FAE2D6" w:fill="FAE2D6" w:themeFill="accent2" w:themeFillTint="32"/>
      </w:tcPr>
    </w:tblStylePr>
    <w:tblStylePr w:type="band1Horz">
      <w:rPr>
        <w:sz w:val="22"/>
      </w:rPr>
    </w:tblStylePr>
    <w:tblStylePr w:type="band2Horz">
      <w:rPr>
        <w:sz w:val="22"/>
      </w:rPr>
      <w:tblPr/>
      <w:tcPr>
        <w:shd w:val="clear" w:color="FAE2D6" w:fill="FAE2D6" w:themeFill="accent2" w:themeFillTint="32"/>
      </w:tcPr>
    </w:tblStylePr>
  </w:style>
  <w:style w:type="table" w:customStyle="1" w:styleId="Lined-Accent3">
    <w:name w:val="Lined - Accent 3"/>
    <w:basedOn w:val="TableNormal"/>
    <w:uiPriority w:val="99"/>
    <w:rPr>
      <w:sz w:val="20"/>
      <w:szCs w:val="20"/>
    </w:rPr>
    <w:tblPr>
      <w:tblStyleRowBandSize w:val="1"/>
      <w:tblStyleColBandSize w:val="1"/>
    </w:tblPr>
    <w:tblStylePr w:type="firstRow">
      <w:rPr>
        <w:sz w:val="22"/>
      </w:rPr>
      <w:tblPr/>
      <w:tcPr>
        <w:shd w:val="clear" w:color="196C24" w:fill="196C24" w:themeFill="accent3" w:themeFillTint="FE"/>
      </w:tcPr>
    </w:tblStylePr>
    <w:tblStylePr w:type="lastRow">
      <w:rPr>
        <w:sz w:val="22"/>
      </w:rPr>
      <w:tblPr/>
      <w:tcPr>
        <w:shd w:val="clear" w:color="196C24" w:fill="196C24" w:themeFill="accent3" w:themeFillTint="FE"/>
      </w:tcPr>
    </w:tblStylePr>
    <w:tblStylePr w:type="firstCol">
      <w:rPr>
        <w:sz w:val="22"/>
      </w:rPr>
      <w:tblPr/>
      <w:tcPr>
        <w:shd w:val="clear" w:color="196C24" w:fill="196C24" w:themeFill="accent3" w:themeFillTint="FE"/>
      </w:tcPr>
    </w:tblStylePr>
    <w:tblStylePr w:type="lastCol">
      <w:rPr>
        <w:sz w:val="22"/>
      </w:rPr>
      <w:tblPr/>
      <w:tcPr>
        <w:shd w:val="clear" w:color="196C24" w:fill="196C24" w:themeFill="accent3" w:themeFillTint="FE"/>
      </w:tcPr>
    </w:tblStylePr>
    <w:tblStylePr w:type="band1Vert">
      <w:rPr>
        <w:sz w:val="22"/>
      </w:rPr>
    </w:tblStylePr>
    <w:tblStylePr w:type="band2Vert">
      <w:rPr>
        <w:sz w:val="22"/>
      </w:rPr>
      <w:tblPr/>
      <w:tcPr>
        <w:shd w:val="clear" w:color="C0F0C6" w:fill="C0F0C6" w:themeFill="accent3" w:themeFillTint="34"/>
      </w:tcPr>
    </w:tblStylePr>
    <w:tblStylePr w:type="band1Horz">
      <w:rPr>
        <w:sz w:val="22"/>
      </w:rPr>
    </w:tblStylePr>
    <w:tblStylePr w:type="band2Horz">
      <w:rPr>
        <w:sz w:val="22"/>
      </w:rPr>
      <w:tblPr/>
      <w:tcPr>
        <w:shd w:val="clear" w:color="C0F0C6" w:fill="C0F0C6" w:themeFill="accent3" w:themeFillTint="34"/>
      </w:tcPr>
    </w:tblStylePr>
  </w:style>
  <w:style w:type="table" w:customStyle="1" w:styleId="Lined-Accent4">
    <w:name w:val="Lined - Accent 4"/>
    <w:basedOn w:val="TableNormal"/>
    <w:uiPriority w:val="99"/>
    <w:rPr>
      <w:sz w:val="20"/>
      <w:szCs w:val="20"/>
    </w:rPr>
    <w:tblPr>
      <w:tblStyleRowBandSize w:val="1"/>
      <w:tblStyleColBandSize w:val="1"/>
    </w:tblPr>
    <w:tblStylePr w:type="firstRow">
      <w:rPr>
        <w:sz w:val="22"/>
      </w:rPr>
      <w:tblPr/>
      <w:tcPr>
        <w:shd w:val="clear" w:color="5FCAF3" w:fill="5FCAF3" w:themeFill="accent4" w:themeFillTint="9A"/>
      </w:tcPr>
    </w:tblStylePr>
    <w:tblStylePr w:type="lastRow">
      <w:rPr>
        <w:sz w:val="22"/>
      </w:rPr>
      <w:tblPr/>
      <w:tcPr>
        <w:shd w:val="clear" w:color="5FCAF3" w:fill="5FCAF3" w:themeFill="accent4" w:themeFillTint="9A"/>
      </w:tcPr>
    </w:tblStylePr>
    <w:tblStylePr w:type="firstCol">
      <w:rPr>
        <w:sz w:val="22"/>
      </w:rPr>
      <w:tblPr/>
      <w:tcPr>
        <w:shd w:val="clear" w:color="5FCAF3" w:fill="5FCAF3" w:themeFill="accent4" w:themeFillTint="9A"/>
      </w:tcPr>
    </w:tblStylePr>
    <w:tblStylePr w:type="lastCol">
      <w:rPr>
        <w:sz w:val="22"/>
      </w:rPr>
      <w:tblPr/>
      <w:tcPr>
        <w:shd w:val="clear" w:color="5FCAF3" w:fill="5FCAF3" w:themeFill="accent4" w:themeFillTint="9A"/>
      </w:tcPr>
    </w:tblStylePr>
    <w:tblStylePr w:type="band1Vert">
      <w:rPr>
        <w:sz w:val="22"/>
      </w:rPr>
    </w:tblStylePr>
    <w:tblStylePr w:type="band2Vert">
      <w:rPr>
        <w:sz w:val="22"/>
      </w:rPr>
      <w:tblPr/>
      <w:tcPr>
        <w:shd w:val="clear" w:color="C9EDFB" w:fill="C9EDFB" w:themeFill="accent4" w:themeFillTint="34"/>
      </w:tcPr>
    </w:tblStylePr>
    <w:tblStylePr w:type="band1Horz">
      <w:rPr>
        <w:sz w:val="22"/>
      </w:rPr>
    </w:tblStylePr>
    <w:tblStylePr w:type="band2Horz">
      <w:rPr>
        <w:sz w:val="22"/>
      </w:rPr>
      <w:tblPr/>
      <w:tcPr>
        <w:shd w:val="clear" w:color="C9EDFB" w:fill="C9EDFB" w:themeFill="accent4" w:themeFillTint="34"/>
      </w:tcPr>
    </w:tblStylePr>
  </w:style>
  <w:style w:type="table" w:customStyle="1" w:styleId="Lined-Accent5">
    <w:name w:val="Lined - Accent 5"/>
    <w:basedOn w:val="TableNormal"/>
    <w:uiPriority w:val="99"/>
    <w:rPr>
      <w:sz w:val="20"/>
      <w:szCs w:val="20"/>
    </w:rPr>
    <w:tblPr>
      <w:tblStyleRowBandSize w:val="1"/>
      <w:tblStyleColBandSize w:val="1"/>
    </w:tblPr>
    <w:tblStylePr w:type="firstRow">
      <w:rPr>
        <w:sz w:val="22"/>
      </w:rPr>
      <w:tblPr/>
      <w:tcPr>
        <w:shd w:val="clear" w:color="A02B93" w:fill="A02B93" w:themeFill="accent5"/>
      </w:tcPr>
    </w:tblStylePr>
    <w:tblStylePr w:type="lastRow">
      <w:rPr>
        <w:sz w:val="22"/>
      </w:rPr>
      <w:tblPr/>
      <w:tcPr>
        <w:shd w:val="clear" w:color="A02B93" w:fill="A02B93" w:themeFill="accent5"/>
      </w:tcPr>
    </w:tblStylePr>
    <w:tblStylePr w:type="firstCol">
      <w:rPr>
        <w:sz w:val="22"/>
      </w:rPr>
      <w:tblPr/>
      <w:tcPr>
        <w:shd w:val="clear" w:color="A02B93" w:fill="A02B93" w:themeFill="accent5"/>
      </w:tcPr>
    </w:tblStylePr>
    <w:tblStylePr w:type="lastCol">
      <w:rPr>
        <w:sz w:val="22"/>
      </w:rPr>
      <w:tblPr/>
      <w:tcPr>
        <w:shd w:val="clear" w:color="A02B93" w:fill="A02B93" w:themeFill="accent5"/>
      </w:tcPr>
    </w:tblStylePr>
    <w:tblStylePr w:type="band1Vert">
      <w:rPr>
        <w:sz w:val="22"/>
      </w:rPr>
    </w:tblStylePr>
    <w:tblStylePr w:type="band2Vert">
      <w:rPr>
        <w:sz w:val="22"/>
      </w:rPr>
      <w:tblPr/>
      <w:tcPr>
        <w:shd w:val="clear" w:color="F1CDED" w:fill="F1CDED" w:themeFill="accent5" w:themeFillTint="34"/>
      </w:tcPr>
    </w:tblStylePr>
    <w:tblStylePr w:type="band1Horz">
      <w:rPr>
        <w:sz w:val="22"/>
      </w:rPr>
    </w:tblStylePr>
    <w:tblStylePr w:type="band2Horz">
      <w:rPr>
        <w:sz w:val="22"/>
      </w:rPr>
      <w:tblPr/>
      <w:tcPr>
        <w:shd w:val="clear" w:color="F1CDED" w:fill="F1CDED" w:themeFill="accent5" w:themeFillTint="34"/>
      </w:tcPr>
    </w:tblStylePr>
  </w:style>
  <w:style w:type="table" w:customStyle="1" w:styleId="Lined-Accent6">
    <w:name w:val="Lined - Accent 6"/>
    <w:basedOn w:val="TableNormal"/>
    <w:uiPriority w:val="99"/>
    <w:rPr>
      <w:sz w:val="20"/>
      <w:szCs w:val="20"/>
    </w:rPr>
    <w:tblPr>
      <w:tblStyleRowBandSize w:val="1"/>
      <w:tblStyleColBandSize w:val="1"/>
    </w:tblPr>
    <w:tblStylePr w:type="firstRow">
      <w:rPr>
        <w:sz w:val="22"/>
      </w:rPr>
      <w:tblPr/>
      <w:tcPr>
        <w:shd w:val="clear" w:color="4EA72E" w:fill="4EA72E" w:themeFill="accent6"/>
      </w:tcPr>
    </w:tblStylePr>
    <w:tblStylePr w:type="lastRow">
      <w:rPr>
        <w:sz w:val="22"/>
      </w:rPr>
      <w:tblPr/>
      <w:tcPr>
        <w:shd w:val="clear" w:color="4EA72E" w:fill="4EA72E" w:themeFill="accent6"/>
      </w:tcPr>
    </w:tblStylePr>
    <w:tblStylePr w:type="firstCol">
      <w:rPr>
        <w:sz w:val="22"/>
      </w:rPr>
      <w:tblPr/>
      <w:tcPr>
        <w:shd w:val="clear" w:color="4EA72E" w:fill="4EA72E" w:themeFill="accent6"/>
      </w:tcPr>
    </w:tblStylePr>
    <w:tblStylePr w:type="lastCol">
      <w:rPr>
        <w:sz w:val="22"/>
      </w:rPr>
      <w:tblPr/>
      <w:tcPr>
        <w:shd w:val="clear" w:color="4EA72E" w:fill="4EA72E" w:themeFill="accent6"/>
      </w:tcPr>
    </w:tblStylePr>
    <w:tblStylePr w:type="band1Vert">
      <w:rPr>
        <w:sz w:val="22"/>
      </w:rPr>
    </w:tblStylePr>
    <w:tblStylePr w:type="band2Vert">
      <w:rPr>
        <w:sz w:val="22"/>
      </w:rPr>
      <w:tblPr/>
      <w:tcPr>
        <w:shd w:val="clear" w:color="D8F2CF" w:fill="D8F2CF" w:themeFill="accent6" w:themeFillTint="34"/>
      </w:tcPr>
    </w:tblStylePr>
    <w:tblStylePr w:type="band1Horz">
      <w:rPr>
        <w:sz w:val="22"/>
      </w:rPr>
    </w:tblStylePr>
    <w:tblStylePr w:type="band2Horz">
      <w:rPr>
        <w:sz w:val="22"/>
      </w:rPr>
      <w:tblPr/>
      <w:tcPr>
        <w:shd w:val="clear" w:color="D8F2CF" w:fill="D8F2CF" w:themeFill="accent6" w:themeFillTint="34"/>
      </w:tcPr>
    </w:tblStylePr>
  </w:style>
  <w:style w:type="table" w:customStyle="1" w:styleId="BorderedLined-Accent">
    <w:name w:val="Bordered &amp; Lined - Accent"/>
    <w:basedOn w:val="TableNormal"/>
    <w:uiPriority w:val="99"/>
    <w:rPr>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StylePr>
    <w:tblStylePr w:type="band2Vert">
      <w:rPr>
        <w:sz w:val="22"/>
      </w:rPr>
      <w:tblPr/>
      <w:tcPr>
        <w:shd w:val="clear" w:color="F2F2F2" w:fill="F2F2F2" w:themeFill="text1" w:themeFillTint="0D"/>
      </w:tcPr>
    </w:tblStylePr>
    <w:tblStylePr w:type="band1Horz">
      <w:rPr>
        <w:sz w:val="22"/>
      </w:rPr>
    </w:tblStylePr>
    <w:tblStylePr w:type="band2Horz">
      <w:rPr>
        <w:sz w:val="22"/>
      </w:rPr>
      <w:tblPr/>
      <w:tcPr>
        <w:shd w:val="clear" w:color="F2F2F2" w:fill="F2F2F2" w:themeFill="text1" w:themeFillTint="0D"/>
      </w:tcPr>
    </w:tblStylePr>
  </w:style>
  <w:style w:type="table" w:customStyle="1" w:styleId="BorderedLined-Accent1">
    <w:name w:val="Bordered &amp; Lined - Accent 1"/>
    <w:basedOn w:val="TableNormal"/>
    <w:uiPriority w:val="99"/>
    <w:rPr>
      <w:sz w:val="20"/>
      <w:szCs w:val="20"/>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Pr>
    <w:tblStylePr w:type="firstRow">
      <w:rPr>
        <w:sz w:val="22"/>
      </w:rPr>
      <w:tblPr/>
      <w:tcPr>
        <w:shd w:val="clear" w:color="19729B" w:fill="19729B" w:themeFill="accent1" w:themeFillTint="EA"/>
      </w:tcPr>
    </w:tblStylePr>
    <w:tblStylePr w:type="lastRow">
      <w:rPr>
        <w:sz w:val="22"/>
      </w:rPr>
      <w:tblPr/>
      <w:tcPr>
        <w:shd w:val="clear" w:color="19729B" w:fill="19729B" w:themeFill="accent1" w:themeFillTint="EA"/>
      </w:tcPr>
    </w:tblStylePr>
    <w:tblStylePr w:type="firstCol">
      <w:rPr>
        <w:sz w:val="22"/>
      </w:rPr>
      <w:tblPr/>
      <w:tcPr>
        <w:shd w:val="clear" w:color="19729B" w:fill="19729B" w:themeFill="accent1" w:themeFillTint="EA"/>
      </w:tcPr>
    </w:tblStylePr>
    <w:tblStylePr w:type="lastCol">
      <w:rPr>
        <w:sz w:val="22"/>
      </w:rPr>
      <w:tblPr/>
      <w:tcPr>
        <w:shd w:val="clear" w:color="19729B" w:fill="19729B" w:themeFill="accent1" w:themeFillTint="EA"/>
      </w:tcPr>
    </w:tblStylePr>
    <w:tblStylePr w:type="band1Vert">
      <w:rPr>
        <w:sz w:val="22"/>
      </w:rPr>
    </w:tblStylePr>
    <w:tblStylePr w:type="band2Vert">
      <w:rPr>
        <w:sz w:val="22"/>
      </w:rPr>
      <w:tblPr/>
      <w:tcPr>
        <w:shd w:val="clear" w:color="9ED5EF" w:fill="9ED5EF" w:themeFill="accent1" w:themeFillTint="50"/>
      </w:tcPr>
    </w:tblStylePr>
    <w:tblStylePr w:type="band1Horz">
      <w:rPr>
        <w:sz w:val="22"/>
      </w:rPr>
    </w:tblStylePr>
    <w:tblStylePr w:type="band2Horz">
      <w:rPr>
        <w:sz w:val="22"/>
      </w:rPr>
      <w:tblPr/>
      <w:tcPr>
        <w:shd w:val="clear" w:color="9ED5EF" w:fill="9ED5EF" w:themeFill="accent1" w:themeFillTint="50"/>
      </w:tcPr>
    </w:tblStylePr>
  </w:style>
  <w:style w:type="table" w:customStyle="1" w:styleId="BorderedLined-Accent2">
    <w:name w:val="Bordered &amp; Lined - Accent 2"/>
    <w:basedOn w:val="TableNormal"/>
    <w:uiPriority w:val="99"/>
    <w:rPr>
      <w:sz w:val="20"/>
      <w:szCs w:val="20"/>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Pr>
    <w:tblStylePr w:type="firstRow">
      <w:rPr>
        <w:sz w:val="22"/>
      </w:rPr>
      <w:tblPr/>
      <w:tcPr>
        <w:shd w:val="clear" w:color="F2AA85" w:fill="F2AA85" w:themeFill="accent2" w:themeFillTint="97"/>
      </w:tcPr>
    </w:tblStylePr>
    <w:tblStylePr w:type="lastRow">
      <w:rPr>
        <w:sz w:val="22"/>
      </w:rPr>
      <w:tblPr/>
      <w:tcPr>
        <w:shd w:val="clear" w:color="F2AA85" w:fill="F2AA85" w:themeFill="accent2" w:themeFillTint="97"/>
      </w:tcPr>
    </w:tblStylePr>
    <w:tblStylePr w:type="firstCol">
      <w:rPr>
        <w:sz w:val="22"/>
      </w:rPr>
      <w:tblPr/>
      <w:tcPr>
        <w:shd w:val="clear" w:color="F2AA85" w:fill="F2AA85" w:themeFill="accent2" w:themeFillTint="97"/>
      </w:tcPr>
    </w:tblStylePr>
    <w:tblStylePr w:type="lastCol">
      <w:rPr>
        <w:sz w:val="22"/>
      </w:rPr>
      <w:tblPr/>
      <w:tcPr>
        <w:shd w:val="clear" w:color="F2AA85" w:fill="F2AA85" w:themeFill="accent2" w:themeFillTint="97"/>
      </w:tcPr>
    </w:tblStylePr>
    <w:tblStylePr w:type="band1Vert">
      <w:rPr>
        <w:sz w:val="22"/>
      </w:rPr>
    </w:tblStylePr>
    <w:tblStylePr w:type="band2Vert">
      <w:rPr>
        <w:sz w:val="22"/>
      </w:rPr>
      <w:tblPr/>
      <w:tcPr>
        <w:shd w:val="clear" w:color="FAE2D6" w:fill="FAE2D6" w:themeFill="accent2" w:themeFillTint="32"/>
      </w:tcPr>
    </w:tblStylePr>
    <w:tblStylePr w:type="band1Horz">
      <w:rPr>
        <w:sz w:val="22"/>
      </w:rPr>
    </w:tblStylePr>
    <w:tblStylePr w:type="band2Horz">
      <w:rPr>
        <w:sz w:val="22"/>
      </w:rPr>
      <w:tblPr/>
      <w:tcPr>
        <w:shd w:val="clear" w:color="FAE2D6" w:fill="FAE2D6" w:themeFill="accent2" w:themeFillTint="32"/>
      </w:tcPr>
    </w:tblStylePr>
  </w:style>
  <w:style w:type="table" w:customStyle="1" w:styleId="BorderedLined-Accent3">
    <w:name w:val="Bordered &amp; Lined - Accent 3"/>
    <w:basedOn w:val="TableNormal"/>
    <w:uiPriority w:val="99"/>
    <w:rPr>
      <w:sz w:val="20"/>
      <w:szCs w:val="20"/>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insideH w:val="single" w:sz="4" w:space="0" w:color="196B24" w:themeColor="accent3"/>
        <w:insideV w:val="single" w:sz="4" w:space="0" w:color="196B24" w:themeColor="accent3"/>
      </w:tblBorders>
    </w:tblPr>
    <w:tblStylePr w:type="firstRow">
      <w:rPr>
        <w:sz w:val="22"/>
      </w:rPr>
      <w:tblPr/>
      <w:tcPr>
        <w:shd w:val="clear" w:color="196C24" w:fill="196C24" w:themeFill="accent3" w:themeFillTint="FE"/>
      </w:tcPr>
    </w:tblStylePr>
    <w:tblStylePr w:type="lastRow">
      <w:rPr>
        <w:sz w:val="22"/>
      </w:rPr>
      <w:tblPr/>
      <w:tcPr>
        <w:shd w:val="clear" w:color="196C24" w:fill="196C24" w:themeFill="accent3" w:themeFillTint="FE"/>
      </w:tcPr>
    </w:tblStylePr>
    <w:tblStylePr w:type="firstCol">
      <w:rPr>
        <w:sz w:val="22"/>
      </w:rPr>
      <w:tblPr/>
      <w:tcPr>
        <w:shd w:val="clear" w:color="196C24" w:fill="196C24" w:themeFill="accent3" w:themeFillTint="FE"/>
      </w:tcPr>
    </w:tblStylePr>
    <w:tblStylePr w:type="lastCol">
      <w:rPr>
        <w:sz w:val="22"/>
      </w:rPr>
      <w:tblPr/>
      <w:tcPr>
        <w:shd w:val="clear" w:color="196C24" w:fill="196C24" w:themeFill="accent3" w:themeFillTint="FE"/>
      </w:tcPr>
    </w:tblStylePr>
    <w:tblStylePr w:type="band1Vert">
      <w:rPr>
        <w:sz w:val="22"/>
      </w:rPr>
    </w:tblStylePr>
    <w:tblStylePr w:type="band2Vert">
      <w:rPr>
        <w:sz w:val="22"/>
      </w:rPr>
      <w:tblPr/>
      <w:tcPr>
        <w:shd w:val="clear" w:color="C0F0C6" w:fill="C0F0C6" w:themeFill="accent3" w:themeFillTint="34"/>
      </w:tcPr>
    </w:tblStylePr>
    <w:tblStylePr w:type="band1Horz">
      <w:rPr>
        <w:sz w:val="22"/>
      </w:rPr>
    </w:tblStylePr>
    <w:tblStylePr w:type="band2Horz">
      <w:rPr>
        <w:sz w:val="22"/>
      </w:rPr>
      <w:tblPr/>
      <w:tcPr>
        <w:shd w:val="clear" w:color="C0F0C6" w:fill="C0F0C6" w:themeFill="accent3" w:themeFillTint="34"/>
      </w:tcPr>
    </w:tblStylePr>
  </w:style>
  <w:style w:type="table" w:customStyle="1" w:styleId="BorderedLined-Accent4">
    <w:name w:val="Bordered &amp; Lined - Accent 4"/>
    <w:basedOn w:val="TableNormal"/>
    <w:uiPriority w:val="99"/>
    <w:rPr>
      <w:sz w:val="20"/>
      <w:szCs w:val="20"/>
    </w:r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insideH w:val="single" w:sz="4" w:space="0" w:color="0F9ED5" w:themeColor="accent4"/>
        <w:insideV w:val="single" w:sz="4" w:space="0" w:color="0F9ED5" w:themeColor="accent4"/>
      </w:tblBorders>
    </w:tblPr>
    <w:tblStylePr w:type="firstRow">
      <w:rPr>
        <w:sz w:val="22"/>
      </w:rPr>
      <w:tblPr/>
      <w:tcPr>
        <w:shd w:val="clear" w:color="5FCAF3" w:fill="5FCAF3" w:themeFill="accent4" w:themeFillTint="9A"/>
      </w:tcPr>
    </w:tblStylePr>
    <w:tblStylePr w:type="lastRow">
      <w:rPr>
        <w:sz w:val="22"/>
      </w:rPr>
      <w:tblPr/>
      <w:tcPr>
        <w:shd w:val="clear" w:color="5FCAF3" w:fill="5FCAF3" w:themeFill="accent4" w:themeFillTint="9A"/>
      </w:tcPr>
    </w:tblStylePr>
    <w:tblStylePr w:type="firstCol">
      <w:rPr>
        <w:sz w:val="22"/>
      </w:rPr>
      <w:tblPr/>
      <w:tcPr>
        <w:shd w:val="clear" w:color="5FCAF3" w:fill="5FCAF3" w:themeFill="accent4" w:themeFillTint="9A"/>
      </w:tcPr>
    </w:tblStylePr>
    <w:tblStylePr w:type="lastCol">
      <w:rPr>
        <w:sz w:val="22"/>
      </w:rPr>
      <w:tblPr/>
      <w:tcPr>
        <w:shd w:val="clear" w:color="5FCAF3" w:fill="5FCAF3" w:themeFill="accent4" w:themeFillTint="9A"/>
      </w:tcPr>
    </w:tblStylePr>
    <w:tblStylePr w:type="band1Vert">
      <w:rPr>
        <w:sz w:val="22"/>
      </w:rPr>
    </w:tblStylePr>
    <w:tblStylePr w:type="band2Vert">
      <w:rPr>
        <w:sz w:val="22"/>
      </w:rPr>
      <w:tblPr/>
      <w:tcPr>
        <w:shd w:val="clear" w:color="C9EDFB" w:fill="C9EDFB" w:themeFill="accent4" w:themeFillTint="34"/>
      </w:tcPr>
    </w:tblStylePr>
    <w:tblStylePr w:type="band1Horz">
      <w:rPr>
        <w:sz w:val="22"/>
      </w:rPr>
    </w:tblStylePr>
    <w:tblStylePr w:type="band2Horz">
      <w:rPr>
        <w:sz w:val="22"/>
      </w:rPr>
      <w:tblPr/>
      <w:tcPr>
        <w:shd w:val="clear" w:color="C9EDFB" w:fill="C9EDFB" w:themeFill="accent4" w:themeFillTint="34"/>
      </w:tcPr>
    </w:tblStylePr>
  </w:style>
  <w:style w:type="table" w:customStyle="1" w:styleId="BorderedLined-Accent5">
    <w:name w:val="Bordered &amp; Lined - Accent 5"/>
    <w:basedOn w:val="TableNormal"/>
    <w:uiPriority w:val="99"/>
    <w:rPr>
      <w:sz w:val="20"/>
      <w:szCs w:val="20"/>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sz w:val="22"/>
      </w:rPr>
      <w:tblPr/>
      <w:tcPr>
        <w:shd w:val="clear" w:color="A02B93" w:fill="A02B93" w:themeFill="accent5"/>
      </w:tcPr>
    </w:tblStylePr>
    <w:tblStylePr w:type="lastRow">
      <w:rPr>
        <w:sz w:val="22"/>
      </w:rPr>
      <w:tblPr/>
      <w:tcPr>
        <w:shd w:val="clear" w:color="A02B93" w:fill="A02B93" w:themeFill="accent5"/>
      </w:tcPr>
    </w:tblStylePr>
    <w:tblStylePr w:type="firstCol">
      <w:rPr>
        <w:sz w:val="22"/>
      </w:rPr>
      <w:tblPr/>
      <w:tcPr>
        <w:shd w:val="clear" w:color="A02B93" w:fill="A02B93" w:themeFill="accent5"/>
      </w:tcPr>
    </w:tblStylePr>
    <w:tblStylePr w:type="lastCol">
      <w:rPr>
        <w:sz w:val="22"/>
      </w:rPr>
      <w:tblPr/>
      <w:tcPr>
        <w:shd w:val="clear" w:color="A02B93" w:fill="A02B93" w:themeFill="accent5"/>
      </w:tcPr>
    </w:tblStylePr>
    <w:tblStylePr w:type="band1Vert">
      <w:rPr>
        <w:sz w:val="22"/>
      </w:rPr>
    </w:tblStylePr>
    <w:tblStylePr w:type="band2Vert">
      <w:rPr>
        <w:sz w:val="22"/>
      </w:rPr>
      <w:tblPr/>
      <w:tcPr>
        <w:shd w:val="clear" w:color="F1CDED" w:fill="F1CDED" w:themeFill="accent5" w:themeFillTint="34"/>
      </w:tcPr>
    </w:tblStylePr>
    <w:tblStylePr w:type="band1Horz">
      <w:rPr>
        <w:sz w:val="22"/>
      </w:rPr>
    </w:tblStylePr>
    <w:tblStylePr w:type="band2Horz">
      <w:rPr>
        <w:sz w:val="22"/>
      </w:rPr>
      <w:tblPr/>
      <w:tcPr>
        <w:shd w:val="clear" w:color="F1CDED" w:fill="F1CDED" w:themeFill="accent5" w:themeFillTint="34"/>
      </w:tcPr>
    </w:tblStylePr>
  </w:style>
  <w:style w:type="table" w:customStyle="1" w:styleId="BorderedLined-Accent6">
    <w:name w:val="Bordered &amp; Lined - Accent 6"/>
    <w:basedOn w:val="TableNormal"/>
    <w:uiPriority w:val="99"/>
    <w:rPr>
      <w:sz w:val="20"/>
      <w:szCs w:val="20"/>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sz w:val="22"/>
      </w:rPr>
      <w:tblPr/>
      <w:tcPr>
        <w:shd w:val="clear" w:color="4EA72E" w:fill="4EA72E" w:themeFill="accent6"/>
      </w:tcPr>
    </w:tblStylePr>
    <w:tblStylePr w:type="lastRow">
      <w:rPr>
        <w:sz w:val="22"/>
      </w:rPr>
      <w:tblPr/>
      <w:tcPr>
        <w:shd w:val="clear" w:color="4EA72E" w:fill="4EA72E" w:themeFill="accent6"/>
      </w:tcPr>
    </w:tblStylePr>
    <w:tblStylePr w:type="firstCol">
      <w:rPr>
        <w:sz w:val="22"/>
      </w:rPr>
      <w:tblPr/>
      <w:tcPr>
        <w:shd w:val="clear" w:color="4EA72E" w:fill="4EA72E" w:themeFill="accent6"/>
      </w:tcPr>
    </w:tblStylePr>
    <w:tblStylePr w:type="lastCol">
      <w:rPr>
        <w:sz w:val="22"/>
      </w:rPr>
      <w:tblPr/>
      <w:tcPr>
        <w:shd w:val="clear" w:color="4EA72E" w:fill="4EA72E" w:themeFill="accent6"/>
      </w:tcPr>
    </w:tblStylePr>
    <w:tblStylePr w:type="band1Vert">
      <w:rPr>
        <w:sz w:val="22"/>
      </w:rPr>
    </w:tblStylePr>
    <w:tblStylePr w:type="band2Vert">
      <w:rPr>
        <w:sz w:val="22"/>
      </w:rPr>
      <w:tblPr/>
      <w:tcPr>
        <w:shd w:val="clear" w:color="D8F2CF" w:fill="D8F2CF" w:themeFill="accent6" w:themeFillTint="34"/>
      </w:tcPr>
    </w:tblStylePr>
    <w:tblStylePr w:type="band1Horz">
      <w:rPr>
        <w:sz w:val="22"/>
      </w:rPr>
    </w:tblStylePr>
    <w:tblStylePr w:type="band2Horz">
      <w:rPr>
        <w:sz w:val="22"/>
      </w:rPr>
      <w:tblPr/>
      <w:tcPr>
        <w:shd w:val="clear" w:color="D8F2CF" w:fill="D8F2CF"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sz w:val="22"/>
      </w:rPr>
      <w:tblPr/>
      <w:tcPr>
        <w:tcBorders>
          <w:bottom w:val="single" w:sz="12" w:space="0" w:color="000000" w:themeColor="text1"/>
        </w:tcBorders>
      </w:tcPr>
    </w:tblStylePr>
    <w:tblStylePr w:type="lastRow">
      <w:rPr>
        <w:sz w:val="22"/>
      </w:rPr>
      <w:tblPr/>
      <w:tcPr>
        <w:tcBorders>
          <w:top w:val="single" w:sz="12" w:space="0" w:color="000000" w:themeColor="text1"/>
        </w:tcBorders>
      </w:tcPr>
    </w:tblStylePr>
    <w:tblStylePr w:type="firstCol">
      <w:rPr>
        <w:sz w:val="22"/>
      </w:rPr>
    </w:tblStylePr>
    <w:tblStylePr w:type="lastCol">
      <w:rPr>
        <w:sz w:val="22"/>
      </w:rPr>
      <w:tblPr/>
      <w:tcPr>
        <w:tcBorders>
          <w:left w:val="single" w:sz="12" w:space="0" w:color="000000" w:themeColor="text1"/>
        </w:tcBorders>
      </w:tc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Bordered-Accent1">
    <w:name w:val="Bordered - Accent 1"/>
    <w:basedOn w:val="TableNormal"/>
    <w:uiPriority w:val="99"/>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sz w:val="22"/>
      </w:rPr>
      <w:tblPr/>
      <w:tcPr>
        <w:tcBorders>
          <w:bottom w:val="single" w:sz="12" w:space="0" w:color="156082" w:themeColor="accent1"/>
        </w:tcBorders>
      </w:tcPr>
    </w:tblStylePr>
    <w:tblStylePr w:type="lastRow">
      <w:rPr>
        <w:sz w:val="22"/>
      </w:rPr>
      <w:tblPr/>
      <w:tcPr>
        <w:tcBorders>
          <w:top w:val="single" w:sz="12" w:space="0" w:color="156082" w:themeColor="accent1"/>
        </w:tcBorders>
      </w:tcPr>
    </w:tblStylePr>
    <w:tblStylePr w:type="firstCol">
      <w:rPr>
        <w:sz w:val="22"/>
      </w:rPr>
    </w:tblStylePr>
    <w:tblStylePr w:type="lastCol">
      <w:rPr>
        <w:sz w:val="22"/>
      </w:rPr>
      <w:tblPr/>
      <w:tcPr>
        <w:tcBorders>
          <w:left w:val="single" w:sz="12" w:space="0" w:color="156082" w:themeColor="accent1"/>
        </w:tcBorders>
      </w:tcPr>
    </w:tblStylePr>
    <w:tblStylePr w:type="band1Horz">
      <w:rPr>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tblStylePr>
  </w:style>
  <w:style w:type="table" w:customStyle="1" w:styleId="Bordered-Accent2">
    <w:name w:val="Bordered - Accent 2"/>
    <w:basedOn w:val="TableNormal"/>
    <w:uiPriority w:val="99"/>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sz w:val="22"/>
      </w:rPr>
      <w:tblPr/>
      <w:tcPr>
        <w:tcBorders>
          <w:bottom w:val="single" w:sz="12" w:space="0" w:color="E97132" w:themeColor="accent2"/>
        </w:tcBorders>
      </w:tcPr>
    </w:tblStylePr>
    <w:tblStylePr w:type="lastRow">
      <w:rPr>
        <w:sz w:val="22"/>
      </w:rPr>
      <w:tblPr/>
      <w:tcPr>
        <w:tcBorders>
          <w:top w:val="single" w:sz="12" w:space="0" w:color="E97132" w:themeColor="accent2"/>
        </w:tcBorders>
      </w:tcPr>
    </w:tblStylePr>
    <w:tblStylePr w:type="firstCol">
      <w:rPr>
        <w:sz w:val="22"/>
      </w:rPr>
    </w:tblStylePr>
    <w:tblStylePr w:type="lastCol">
      <w:rPr>
        <w:sz w:val="22"/>
      </w:rPr>
      <w:tblPr/>
      <w:tcPr>
        <w:tcBorders>
          <w:left w:val="single" w:sz="12" w:space="0" w:color="E97132" w:themeColor="accent2"/>
        </w:tcBorders>
      </w:tcPr>
    </w:tblStylePr>
    <w:tblStylePr w:type="band1Horz">
      <w:rPr>
        <w:sz w:val="22"/>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tcBorders>
      </w:tcPr>
    </w:tblStylePr>
  </w:style>
  <w:style w:type="table" w:customStyle="1" w:styleId="Bordered-Accent3">
    <w:name w:val="Bordered - Accent 3"/>
    <w:basedOn w:val="TableNormal"/>
    <w:uiPriority w:val="99"/>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sz w:val="22"/>
      </w:rPr>
      <w:tblPr/>
      <w:tcPr>
        <w:tcBorders>
          <w:bottom w:val="single" w:sz="12" w:space="0" w:color="196B24" w:themeColor="accent3"/>
        </w:tcBorders>
      </w:tcPr>
    </w:tblStylePr>
    <w:tblStylePr w:type="lastRow">
      <w:rPr>
        <w:sz w:val="22"/>
      </w:rPr>
      <w:tblPr/>
      <w:tcPr>
        <w:tcBorders>
          <w:top w:val="single" w:sz="12" w:space="0" w:color="196B24" w:themeColor="accent3"/>
        </w:tcBorders>
      </w:tcPr>
    </w:tblStylePr>
    <w:tblStylePr w:type="firstCol">
      <w:rPr>
        <w:sz w:val="22"/>
      </w:rPr>
    </w:tblStylePr>
    <w:tblStylePr w:type="lastCol">
      <w:rPr>
        <w:sz w:val="22"/>
      </w:rPr>
      <w:tblPr/>
      <w:tcPr>
        <w:tcBorders>
          <w:left w:val="single" w:sz="12" w:space="0" w:color="196B24" w:themeColor="accent3"/>
        </w:tcBorders>
      </w:tcPr>
    </w:tblStylePr>
    <w:tblStylePr w:type="band1Horz">
      <w:rPr>
        <w:sz w:val="22"/>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tcBorders>
      </w:tcPr>
    </w:tblStylePr>
  </w:style>
  <w:style w:type="table" w:customStyle="1" w:styleId="Bordered-Accent4">
    <w:name w:val="Bordered - Accent 4"/>
    <w:basedOn w:val="TableNormal"/>
    <w:uiPriority w:val="99"/>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sz w:val="22"/>
      </w:rPr>
      <w:tblPr/>
      <w:tcPr>
        <w:tcBorders>
          <w:bottom w:val="single" w:sz="12" w:space="0" w:color="0F9ED5" w:themeColor="accent4"/>
        </w:tcBorders>
      </w:tcPr>
    </w:tblStylePr>
    <w:tblStylePr w:type="lastRow">
      <w:rPr>
        <w:sz w:val="22"/>
      </w:rPr>
      <w:tblPr/>
      <w:tcPr>
        <w:tcBorders>
          <w:top w:val="single" w:sz="12" w:space="0" w:color="0F9ED5" w:themeColor="accent4"/>
        </w:tcBorders>
      </w:tcPr>
    </w:tblStylePr>
    <w:tblStylePr w:type="firstCol">
      <w:rPr>
        <w:sz w:val="22"/>
      </w:rPr>
    </w:tblStylePr>
    <w:tblStylePr w:type="lastCol">
      <w:rPr>
        <w:sz w:val="22"/>
      </w:rPr>
      <w:tblPr/>
      <w:tcPr>
        <w:tcBorders>
          <w:left w:val="single" w:sz="12" w:space="0" w:color="0F9ED5" w:themeColor="accent4"/>
        </w:tcBorders>
      </w:tcPr>
    </w:tblStylePr>
    <w:tblStylePr w:type="band1Horz">
      <w:rPr>
        <w:sz w:val="22"/>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tcBorders>
      </w:tcPr>
    </w:tblStylePr>
  </w:style>
  <w:style w:type="table" w:customStyle="1" w:styleId="Bordered-Accent5">
    <w:name w:val="Bordered - Accent 5"/>
    <w:basedOn w:val="TableNormal"/>
    <w:uiPriority w:val="99"/>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sz w:val="22"/>
      </w:rPr>
      <w:tblPr/>
      <w:tcPr>
        <w:tcBorders>
          <w:bottom w:val="single" w:sz="12" w:space="0" w:color="A02B93" w:themeColor="accent5"/>
        </w:tcBorders>
      </w:tcPr>
    </w:tblStylePr>
    <w:tblStylePr w:type="lastRow">
      <w:rPr>
        <w:sz w:val="22"/>
      </w:rPr>
      <w:tblPr/>
      <w:tcPr>
        <w:tcBorders>
          <w:top w:val="single" w:sz="12" w:space="0" w:color="A02B93" w:themeColor="accent5"/>
        </w:tcBorders>
      </w:tcPr>
    </w:tblStylePr>
    <w:tblStylePr w:type="firstCol">
      <w:rPr>
        <w:sz w:val="22"/>
      </w:rPr>
    </w:tblStylePr>
    <w:tblStylePr w:type="lastCol">
      <w:rPr>
        <w:sz w:val="22"/>
      </w:rPr>
      <w:tblPr/>
      <w:tcPr>
        <w:tcBorders>
          <w:left w:val="single" w:sz="12" w:space="0" w:color="A02B93" w:themeColor="accent5"/>
        </w:tcBorders>
      </w:tcPr>
    </w:tblStylePr>
    <w:tblStylePr w:type="band1Horz">
      <w:rPr>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tcPr>
    </w:tblStylePr>
  </w:style>
  <w:style w:type="table" w:customStyle="1" w:styleId="Bordered-Accent6">
    <w:name w:val="Bordered - Accent 6"/>
    <w:basedOn w:val="TableNormal"/>
    <w:uiPriority w:val="99"/>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sz w:val="22"/>
      </w:rPr>
      <w:tblPr/>
      <w:tcPr>
        <w:tcBorders>
          <w:bottom w:val="single" w:sz="12" w:space="0" w:color="4EA72E" w:themeColor="accent6"/>
        </w:tcBorders>
      </w:tcPr>
    </w:tblStylePr>
    <w:tblStylePr w:type="lastRow">
      <w:rPr>
        <w:sz w:val="22"/>
      </w:rPr>
      <w:tblPr/>
      <w:tcPr>
        <w:tcBorders>
          <w:top w:val="single" w:sz="12" w:space="0" w:color="4EA72E" w:themeColor="accent6"/>
        </w:tcBorders>
      </w:tcPr>
    </w:tblStylePr>
    <w:tblStylePr w:type="firstCol">
      <w:rPr>
        <w:sz w:val="22"/>
      </w:rPr>
    </w:tblStylePr>
    <w:tblStylePr w:type="lastCol">
      <w:rPr>
        <w:sz w:val="22"/>
      </w:rPr>
      <w:tblPr/>
      <w:tcPr>
        <w:tcBorders>
          <w:left w:val="single" w:sz="12" w:space="0" w:color="4EA72E" w:themeColor="accent6"/>
        </w:tcBorders>
      </w:tcPr>
    </w:tblStylePr>
    <w:tblStylePr w:type="band1Horz">
      <w:rPr>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tcPr>
    </w:tblStylePr>
  </w:style>
  <w:style w:type="table" w:styleId="TableGrid">
    <w:name w:val="Table Grid"/>
    <w:basedOn w:val="TableNormal"/>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
    <w:name w:val="Table"/>
    <w:semiHidden/>
    <w:unhideWhenUsed/>
    <w:qFormat/>
    <w:rsid w:val="00D57DF7"/>
    <w:pPr>
      <w:spacing w:after="200"/>
    </w:pPr>
    <w:rPr>
      <w:sz w:val="24"/>
      <w:szCs w:val="24"/>
      <w:lang w:eastAsia="ja-JP"/>
      <w14:ligatures w14:val="none"/>
    </w:rPr>
    <w:tblPr>
      <w:tblCellMar>
        <w:top w:w="0" w:type="dxa"/>
        <w:left w:w="108" w:type="dxa"/>
        <w:bottom w:w="0" w:type="dxa"/>
        <w:right w:w="108" w:type="dxa"/>
      </w:tblCellMar>
    </w:tblPr>
    <w:tblStylePr w:type="firstRow">
      <w:tblPr/>
      <w:tcPr>
        <w:tcBorders>
          <w:bottom w:val="single" w:sz="0" w:space="0" w:color="auto"/>
        </w:tcBorders>
        <w:vAlign w:val="bottom"/>
      </w:tcPr>
    </w:tblStylePr>
  </w:style>
  <w:style w:type="paragraph" w:customStyle="1" w:styleId="p1">
    <w:name w:val="p1"/>
    <w:basedOn w:val="Normal"/>
    <w:rsid w:val="004F5B40"/>
    <w:pPr>
      <w:suppressAutoHyphens w:val="0"/>
      <w:spacing w:after="0" w:line="240" w:lineRule="auto"/>
    </w:pPr>
    <w:rPr>
      <w:rFonts w:ascii="Helvetica" w:eastAsia="Times New Roman" w:hAnsi="Helvetica" w:cs="Times New Roman"/>
      <w:color w:val="063C88"/>
      <w:sz w:val="33"/>
      <w:szCs w:val="33"/>
      <w14:ligatures w14:val="none"/>
    </w:rPr>
  </w:style>
  <w:style w:type="paragraph" w:customStyle="1" w:styleId="p2">
    <w:name w:val="p2"/>
    <w:basedOn w:val="Normal"/>
    <w:rsid w:val="004F5B40"/>
    <w:pPr>
      <w:suppressAutoHyphens w:val="0"/>
      <w:spacing w:after="0" w:line="240" w:lineRule="auto"/>
    </w:pPr>
    <w:rPr>
      <w:rFonts w:ascii="Helvetica" w:eastAsia="Times New Roman" w:hAnsi="Helvetica" w:cs="Times New Roman"/>
      <w:color w:val="C72827"/>
      <w:sz w:val="48"/>
      <w:szCs w:val="48"/>
      <w14:ligatures w14:val="none"/>
    </w:rPr>
  </w:style>
  <w:style w:type="paragraph" w:customStyle="1" w:styleId="p3">
    <w:name w:val="p3"/>
    <w:basedOn w:val="Normal"/>
    <w:rsid w:val="004F5B40"/>
    <w:pPr>
      <w:suppressAutoHyphens w:val="0"/>
      <w:spacing w:after="0" w:line="240" w:lineRule="auto"/>
    </w:pPr>
    <w:rPr>
      <w:rFonts w:ascii="Helvetica" w:eastAsia="Times New Roman" w:hAnsi="Helvetica" w:cs="Times New Roman"/>
      <w:color w:val="C72827"/>
      <w:sz w:val="27"/>
      <w:szCs w:val="27"/>
      <w14:ligatures w14:val="none"/>
    </w:rPr>
  </w:style>
  <w:style w:type="paragraph" w:customStyle="1" w:styleId="p4">
    <w:name w:val="p4"/>
    <w:basedOn w:val="Normal"/>
    <w:rsid w:val="004F5B40"/>
    <w:pPr>
      <w:suppressAutoHyphens w:val="0"/>
      <w:spacing w:after="0" w:line="240" w:lineRule="auto"/>
    </w:pPr>
    <w:rPr>
      <w:rFonts w:ascii="Helvetica" w:eastAsia="Times New Roman" w:hAnsi="Helvetica" w:cs="Times New Roman"/>
      <w:color w:val="C72827"/>
      <w:sz w:val="26"/>
      <w:szCs w:val="26"/>
      <w14:ligatures w14:val="none"/>
    </w:rPr>
  </w:style>
  <w:style w:type="character" w:customStyle="1" w:styleId="s1">
    <w:name w:val="s1"/>
    <w:basedOn w:val="DefaultParagraphFont"/>
    <w:rsid w:val="004F5B40"/>
    <w:rPr>
      <w:rFonts w:ascii="Helvetica" w:hAnsi="Helvetica" w:hint="default"/>
      <w:sz w:val="35"/>
      <w:szCs w:val="35"/>
    </w:rPr>
  </w:style>
  <w:style w:type="character" w:customStyle="1" w:styleId="s2">
    <w:name w:val="s2"/>
    <w:basedOn w:val="DefaultParagraphFont"/>
    <w:rsid w:val="004F5B40"/>
    <w:rPr>
      <w:rFonts w:ascii="Helvetica" w:hAnsi="Helvetica" w:hint="default"/>
      <w:sz w:val="39"/>
      <w:szCs w:val="39"/>
    </w:rPr>
  </w:style>
  <w:style w:type="paragraph" w:customStyle="1" w:styleId="xxxmsolistparagraph">
    <w:name w:val="xxxmsolistparagraph"/>
    <w:basedOn w:val="Normal"/>
    <w:rsid w:val="003E163D"/>
    <w:pPr>
      <w:suppressAutoHyphens w:val="0"/>
      <w:spacing w:before="100" w:beforeAutospacing="1" w:after="100" w:afterAutospacing="1" w:line="240" w:lineRule="auto"/>
    </w:pPr>
    <w:rPr>
      <w:rFonts w:ascii="Times New Roman" w:eastAsia="Times New Roman" w:hAnsi="Times New Roman" w:cs="Times New Roman"/>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055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Arial"/>
        <a:cs typeface="Arial"/>
      </a:majorFont>
      <a:minorFont>
        <a:latin typeface="Aptos"/>
        <a:ea typeface="Arial"/>
        <a:cs typeface="Arial"/>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EC83FA-FA8D-49EF-AECF-0400DB465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27</Pages>
  <Words>26716</Words>
  <Characters>152285</Characters>
  <Application>Microsoft Office Word</Application>
  <DocSecurity>0</DocSecurity>
  <Lines>1269</Lines>
  <Paragraphs>357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Fisk</dc:creator>
  <dc:description/>
  <cp:lastModifiedBy>Steven McKnight</cp:lastModifiedBy>
  <cp:revision>41</cp:revision>
  <cp:lastPrinted>2024-06-19T23:16:00Z</cp:lastPrinted>
  <dcterms:created xsi:type="dcterms:W3CDTF">2025-05-27T14:28:00Z</dcterms:created>
  <dcterms:modified xsi:type="dcterms:W3CDTF">2025-05-28T18:18:00Z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id="8sAxLDid"/&gt;&lt;style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