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5EE46" w14:textId="029B3667" w:rsidR="00500C0B" w:rsidRPr="003B7D05" w:rsidRDefault="00ED02EB" w:rsidP="003B7D05">
      <w:pPr>
        <w:spacing w:after="0" w:line="480" w:lineRule="auto"/>
        <w:rPr>
          <w:rFonts w:ascii="Times New Roman" w:eastAsia="Garamond" w:hAnsi="Times New Roman" w:cs="Times New Roman"/>
          <w:sz w:val="24"/>
          <w:szCs w:val="24"/>
          <w14:ligatures w14:val="standard"/>
        </w:rPr>
      </w:pPr>
      <w:r w:rsidRPr="003B7D05">
        <w:rPr>
          <w:rFonts w:ascii="Times New Roman" w:eastAsia="Garamond" w:hAnsi="Times New Roman" w:cs="Times New Roman"/>
          <w:b/>
          <w:bCs/>
          <w:sz w:val="24"/>
          <w:szCs w:val="24"/>
          <w14:ligatures w14:val="standard"/>
        </w:rPr>
        <w:t>Title:</w:t>
      </w:r>
      <w:r w:rsidRPr="003B7D05">
        <w:rPr>
          <w:rFonts w:ascii="Times New Roman" w:eastAsia="Garamond" w:hAnsi="Times New Roman" w:cs="Times New Roman"/>
          <w:sz w:val="24"/>
          <w:szCs w:val="24"/>
          <w14:ligatures w14:val="standard"/>
        </w:rPr>
        <w:t xml:space="preserve"> </w:t>
      </w:r>
      <w:r w:rsidR="003B7D05" w:rsidRPr="003B7D05">
        <w:rPr>
          <w:rFonts w:ascii="Times New Roman" w:hAnsi="Times New Roman" w:cs="Times New Roman"/>
          <w:sz w:val="24"/>
          <w:szCs w:val="24"/>
        </w:rPr>
        <w:t xml:space="preserve">Returning to the </w:t>
      </w:r>
      <w:r w:rsidR="00A74C2B" w:rsidRPr="003B7D05">
        <w:rPr>
          <w:rFonts w:ascii="Times New Roman" w:hAnsi="Times New Roman" w:cs="Times New Roman"/>
          <w:sz w:val="24"/>
          <w:szCs w:val="24"/>
        </w:rPr>
        <w:t>Disclosure-Performance Link</w:t>
      </w:r>
      <w:r w:rsidR="003B7D05" w:rsidRPr="003B7D05">
        <w:rPr>
          <w:rFonts w:ascii="Times New Roman" w:hAnsi="Times New Roman" w:cs="Times New Roman"/>
          <w:sz w:val="24"/>
          <w:szCs w:val="24"/>
        </w:rPr>
        <w:t>: Assessing Disclosure’s Regional Impacts in Texas</w:t>
      </w:r>
      <w:r w:rsidR="00A74C2B" w:rsidRPr="003B7D05">
        <w:rPr>
          <w:rFonts w:ascii="Times New Roman" w:hAnsi="Times New Roman" w:cs="Times New Roman"/>
          <w:sz w:val="24"/>
          <w:szCs w:val="24"/>
        </w:rPr>
        <w:t xml:space="preserve"> </w:t>
      </w:r>
    </w:p>
    <w:p w14:paraId="09C2BDB0" w14:textId="1608FA7A" w:rsidR="00500C0B" w:rsidRPr="00CC4E81" w:rsidRDefault="00ED02EB">
      <w:pPr>
        <w:spacing w:after="0" w:line="480" w:lineRule="auto"/>
        <w:rPr>
          <w:rFonts w:ascii="Times New Roman" w:eastAsia="Garamond" w:hAnsi="Times New Roman" w:cs="Times New Roman"/>
          <w:sz w:val="24"/>
          <w:szCs w:val="24"/>
          <w14:ligatures w14:val="standard"/>
        </w:rPr>
      </w:pPr>
      <w:r w:rsidRPr="00CC4E81">
        <w:rPr>
          <w:rFonts w:ascii="Times New Roman" w:eastAsia="Garamond" w:hAnsi="Times New Roman" w:cs="Times New Roman"/>
          <w:b/>
          <w:bCs/>
          <w:sz w:val="24"/>
          <w:szCs w:val="24"/>
          <w14:ligatures w14:val="standard"/>
        </w:rPr>
        <w:t xml:space="preserve">Abstract: </w:t>
      </w:r>
      <w:r w:rsidR="003B7D05">
        <w:rPr>
          <w:rFonts w:ascii="Times New Roman" w:eastAsia="Garamond" w:hAnsi="Times New Roman" w:cs="Times New Roman"/>
          <w:sz w:val="24"/>
          <w:szCs w:val="24"/>
          <w14:ligatures w14:val="standard"/>
        </w:rPr>
        <w:t>Extant</w:t>
      </w:r>
      <w:r w:rsidRPr="00CC4E81">
        <w:rPr>
          <w:rFonts w:ascii="Times New Roman" w:eastAsia="Garamond" w:hAnsi="Times New Roman" w:cs="Times New Roman"/>
          <w:sz w:val="24"/>
          <w:szCs w:val="24"/>
          <w14:ligatures w14:val="standard"/>
        </w:rPr>
        <w:t xml:space="preserve"> </w:t>
      </w:r>
      <w:r w:rsidR="003B7D05">
        <w:rPr>
          <w:rFonts w:ascii="Times New Roman" w:eastAsia="Garamond" w:hAnsi="Times New Roman" w:cs="Times New Roman"/>
          <w:sz w:val="24"/>
          <w:szCs w:val="24"/>
          <w14:ligatures w14:val="standard"/>
        </w:rPr>
        <w:t>research</w:t>
      </w:r>
      <w:r w:rsidRPr="00CC4E81">
        <w:rPr>
          <w:rFonts w:ascii="Times New Roman" w:eastAsia="Garamond" w:hAnsi="Times New Roman" w:cs="Times New Roman"/>
          <w:sz w:val="24"/>
          <w:szCs w:val="24"/>
          <w14:ligatures w14:val="standard"/>
        </w:rPr>
        <w:t xml:space="preserve"> </w:t>
      </w:r>
      <w:r w:rsidR="003B7D05" w:rsidRPr="00CC4E81">
        <w:rPr>
          <w:rFonts w:ascii="Times New Roman" w:eastAsia="Garamond" w:hAnsi="Times New Roman" w:cs="Times New Roman"/>
          <w:sz w:val="24"/>
          <w:szCs w:val="24"/>
          <w14:ligatures w14:val="standard"/>
        </w:rPr>
        <w:t>has</w:t>
      </w:r>
      <w:r w:rsidRPr="00CC4E81">
        <w:rPr>
          <w:rFonts w:ascii="Times New Roman" w:eastAsia="Garamond" w:hAnsi="Times New Roman" w:cs="Times New Roman"/>
          <w:sz w:val="24"/>
          <w:szCs w:val="24"/>
          <w14:ligatures w14:val="standard"/>
        </w:rPr>
        <w:t xml:space="preserve"> </w:t>
      </w:r>
      <w:r w:rsidR="003B7D05">
        <w:rPr>
          <w:rFonts w:ascii="Times New Roman" w:eastAsia="Garamond" w:hAnsi="Times New Roman" w:cs="Times New Roman"/>
          <w:sz w:val="24"/>
          <w:szCs w:val="24"/>
          <w14:ligatures w14:val="standard"/>
        </w:rPr>
        <w:t>assessed the role of information in achieving</w:t>
      </w:r>
      <w:r w:rsidRPr="00CC4E81">
        <w:rPr>
          <w:rFonts w:ascii="Times New Roman" w:eastAsia="Garamond" w:hAnsi="Times New Roman" w:cs="Times New Roman"/>
          <w:sz w:val="24"/>
          <w:szCs w:val="24"/>
          <w14:ligatures w14:val="standard"/>
        </w:rPr>
        <w:t xml:space="preserve"> various policy </w:t>
      </w:r>
      <w:r w:rsidR="003B7D05">
        <w:rPr>
          <w:rFonts w:ascii="Times New Roman" w:eastAsia="Garamond" w:hAnsi="Times New Roman" w:cs="Times New Roman"/>
          <w:sz w:val="24"/>
          <w:szCs w:val="24"/>
          <w14:ligatures w14:val="standard"/>
        </w:rPr>
        <w:t xml:space="preserve">outputs related to toxic chemicals discharges, energy efficiency goals, water consumption, and oil and gas regulatory encounters. Less </w:t>
      </w:r>
      <w:r w:rsidRPr="00CC4E81">
        <w:rPr>
          <w:rFonts w:ascii="Times New Roman" w:eastAsia="Garamond" w:hAnsi="Times New Roman" w:cs="Times New Roman"/>
          <w:sz w:val="24"/>
          <w:szCs w:val="24"/>
          <w14:ligatures w14:val="standard"/>
        </w:rPr>
        <w:t>attention</w:t>
      </w:r>
      <w:r w:rsidR="003B7D05">
        <w:rPr>
          <w:rFonts w:ascii="Times New Roman" w:eastAsia="Garamond" w:hAnsi="Times New Roman" w:cs="Times New Roman"/>
          <w:sz w:val="24"/>
          <w:szCs w:val="24"/>
          <w14:ligatures w14:val="standard"/>
        </w:rPr>
        <w:t>, however,</w:t>
      </w:r>
      <w:r w:rsidRPr="00CC4E81">
        <w:rPr>
          <w:rFonts w:ascii="Times New Roman" w:eastAsia="Garamond" w:hAnsi="Times New Roman" w:cs="Times New Roman"/>
          <w:sz w:val="24"/>
          <w:szCs w:val="24"/>
          <w14:ligatures w14:val="standard"/>
        </w:rPr>
        <w:t xml:space="preserve"> has been given</w:t>
      </w:r>
      <w:r w:rsidR="003B7D05">
        <w:rPr>
          <w:rFonts w:ascii="Times New Roman" w:eastAsia="Garamond" w:hAnsi="Times New Roman" w:cs="Times New Roman"/>
          <w:sz w:val="24"/>
          <w:szCs w:val="24"/>
          <w14:ligatures w14:val="standard"/>
        </w:rPr>
        <w:t xml:space="preserve"> to</w:t>
      </w:r>
      <w:r w:rsidRPr="00CC4E81">
        <w:rPr>
          <w:rFonts w:ascii="Times New Roman" w:eastAsia="Garamond" w:hAnsi="Times New Roman" w:cs="Times New Roman"/>
          <w:sz w:val="24"/>
          <w:szCs w:val="24"/>
          <w14:ligatures w14:val="standard"/>
        </w:rPr>
        <w:t xml:space="preserve"> </w:t>
      </w:r>
      <w:r w:rsidR="003B7D05">
        <w:rPr>
          <w:rFonts w:ascii="Times New Roman" w:eastAsia="Garamond" w:hAnsi="Times New Roman" w:cs="Times New Roman"/>
          <w:sz w:val="24"/>
          <w:szCs w:val="24"/>
          <w14:ligatures w14:val="standard"/>
        </w:rPr>
        <w:t>how disclosure impacts outputs and outcomes in spatial terms. In other words, are the impacts of information disclosure felt equally across substate jurisdictions or offices, especially in terms of enforcement. O</w:t>
      </w:r>
      <w:r w:rsidRPr="00CC4E81">
        <w:rPr>
          <w:rFonts w:ascii="Times New Roman" w:eastAsia="Garamond" w:hAnsi="Times New Roman" w:cs="Times New Roman"/>
          <w:sz w:val="24"/>
          <w:szCs w:val="24"/>
          <w14:ligatures w14:val="standard"/>
        </w:rPr>
        <w:t xml:space="preserve">ur study </w:t>
      </w:r>
      <w:r w:rsidR="003B7D05">
        <w:rPr>
          <w:rFonts w:ascii="Times New Roman" w:eastAsia="Garamond" w:hAnsi="Times New Roman" w:cs="Times New Roman"/>
          <w:sz w:val="24"/>
          <w:szCs w:val="24"/>
          <w14:ligatures w14:val="standard"/>
        </w:rPr>
        <w:t xml:space="preserve">addresses this unknown by leveraging </w:t>
      </w:r>
      <w:r w:rsidRPr="00CC4E81">
        <w:rPr>
          <w:rFonts w:ascii="Times New Roman" w:eastAsia="Garamond" w:hAnsi="Times New Roman" w:cs="Times New Roman"/>
          <w:sz w:val="24"/>
          <w:szCs w:val="24"/>
          <w14:ligatures w14:val="standard"/>
        </w:rPr>
        <w:t xml:space="preserve">a policy change </w:t>
      </w:r>
      <w:r w:rsidR="003B7D05">
        <w:rPr>
          <w:rFonts w:ascii="Times New Roman" w:eastAsia="Garamond" w:hAnsi="Times New Roman" w:cs="Times New Roman"/>
          <w:sz w:val="24"/>
          <w:szCs w:val="24"/>
          <w14:ligatures w14:val="standard"/>
        </w:rPr>
        <w:t>in</w:t>
      </w:r>
      <w:r w:rsidRPr="00CC4E81">
        <w:rPr>
          <w:rFonts w:ascii="Times New Roman" w:eastAsia="Garamond" w:hAnsi="Times New Roman" w:cs="Times New Roman"/>
          <w:sz w:val="24"/>
          <w:szCs w:val="24"/>
          <w14:ligatures w14:val="standard"/>
        </w:rPr>
        <w:t xml:space="preserve"> Texas </w:t>
      </w:r>
      <w:r w:rsidR="003B7D05">
        <w:rPr>
          <w:rFonts w:ascii="Times New Roman" w:eastAsia="Garamond" w:hAnsi="Times New Roman" w:cs="Times New Roman"/>
          <w:sz w:val="24"/>
          <w:szCs w:val="24"/>
          <w14:ligatures w14:val="standard"/>
        </w:rPr>
        <w:t>that took place in 2019. The statewide change</w:t>
      </w:r>
      <w:r w:rsidRPr="00CC4E81">
        <w:rPr>
          <w:rFonts w:ascii="Times New Roman" w:eastAsia="Garamond" w:hAnsi="Times New Roman" w:cs="Times New Roman"/>
          <w:sz w:val="24"/>
          <w:szCs w:val="24"/>
          <w14:ligatures w14:val="standard"/>
        </w:rPr>
        <w:t xml:space="preserve"> </w:t>
      </w:r>
      <w:r w:rsidR="003B7D05">
        <w:rPr>
          <w:rFonts w:ascii="Times New Roman" w:eastAsia="Garamond" w:hAnsi="Times New Roman" w:cs="Times New Roman"/>
          <w:sz w:val="24"/>
          <w:szCs w:val="24"/>
          <w14:ligatures w14:val="standard"/>
        </w:rPr>
        <w:t>provided the public greater access to enforcement data/</w:t>
      </w:r>
      <w:r w:rsidRPr="00CC4E81">
        <w:rPr>
          <w:rFonts w:ascii="Times New Roman" w:eastAsia="Garamond" w:hAnsi="Times New Roman" w:cs="Times New Roman"/>
          <w:sz w:val="24"/>
          <w:szCs w:val="24"/>
          <w14:ligatures w14:val="standard"/>
        </w:rPr>
        <w:t xml:space="preserve">information </w:t>
      </w:r>
      <w:r w:rsidR="003B7D05">
        <w:rPr>
          <w:rFonts w:ascii="Times New Roman" w:eastAsia="Garamond" w:hAnsi="Times New Roman" w:cs="Times New Roman"/>
          <w:sz w:val="24"/>
          <w:szCs w:val="24"/>
          <w14:ligatures w14:val="standard"/>
        </w:rPr>
        <w:t>including the results of</w:t>
      </w:r>
      <w:r w:rsidRPr="00CC4E81">
        <w:rPr>
          <w:rFonts w:ascii="Times New Roman" w:eastAsia="Garamond" w:hAnsi="Times New Roman" w:cs="Times New Roman"/>
          <w:sz w:val="24"/>
          <w:szCs w:val="24"/>
          <w14:ligatures w14:val="standard"/>
        </w:rPr>
        <w:t xml:space="preserve"> inspections, violations, and administrative enforcement actions. </w:t>
      </w:r>
      <w:r w:rsidR="003B7D05">
        <w:rPr>
          <w:rFonts w:ascii="Times New Roman" w:eastAsia="Garamond" w:hAnsi="Times New Roman" w:cs="Times New Roman"/>
          <w:sz w:val="24"/>
          <w:szCs w:val="24"/>
          <w14:ligatures w14:val="standard"/>
        </w:rPr>
        <w:t>Enforcement actions, however, are often routed through district offices, where technical staff</w:t>
      </w:r>
      <w:r w:rsidR="003B7D05" w:rsidRPr="003B7D05">
        <w:rPr>
          <w:rFonts w:ascii="Times New Roman" w:eastAsia="Garamond" w:hAnsi="Times New Roman" w:cs="Times New Roman"/>
          <w:sz w:val="24"/>
          <w:szCs w:val="24"/>
          <w14:ligatures w14:val="standard"/>
        </w:rPr>
        <w:t xml:space="preserve"> </w:t>
      </w:r>
      <w:r w:rsidR="003B7D05">
        <w:rPr>
          <w:rFonts w:ascii="Times New Roman" w:eastAsia="Garamond" w:hAnsi="Times New Roman" w:cs="Times New Roman"/>
          <w:sz w:val="24"/>
          <w:szCs w:val="24"/>
          <w14:ligatures w14:val="standard"/>
        </w:rPr>
        <w:t>engage in actions, e.g., review inspections, assist operations, and engage the public that impact performance. Results suggest…</w:t>
      </w:r>
      <w:r w:rsidR="00975D4D" w:rsidRPr="00CC4E81">
        <w:rPr>
          <w:rFonts w:ascii="Times New Roman" w:eastAsia="Garamond" w:hAnsi="Times New Roman" w:cs="Times New Roman"/>
          <w:sz w:val="24"/>
          <w:szCs w:val="24"/>
          <w14:ligatures w14:val="standard"/>
        </w:rPr>
        <w:t xml:space="preserve"> </w:t>
      </w:r>
    </w:p>
    <w:p w14:paraId="0EF3BCA4" w14:textId="77777777" w:rsidR="00500C0B" w:rsidRPr="00CC4E81" w:rsidRDefault="00500C0B">
      <w:pPr>
        <w:spacing w:after="0" w:line="480" w:lineRule="auto"/>
        <w:rPr>
          <w:rFonts w:ascii="Times New Roman" w:eastAsia="Garamond" w:hAnsi="Times New Roman" w:cs="Times New Roman"/>
          <w:sz w:val="24"/>
          <w:szCs w:val="24"/>
          <w14:ligatures w14:val="standard"/>
        </w:rPr>
      </w:pPr>
    </w:p>
    <w:p w14:paraId="37989FCB" w14:textId="77777777" w:rsidR="00500C0B" w:rsidRPr="00CC4E81" w:rsidRDefault="00500C0B">
      <w:pPr>
        <w:spacing w:after="0" w:line="480" w:lineRule="auto"/>
        <w:rPr>
          <w:rFonts w:ascii="Times New Roman" w:eastAsia="Garamond" w:hAnsi="Times New Roman" w:cs="Times New Roman"/>
          <w:sz w:val="24"/>
          <w:szCs w:val="24"/>
          <w14:ligatures w14:val="standard"/>
        </w:rPr>
      </w:pPr>
    </w:p>
    <w:p w14:paraId="7536FBC5" w14:textId="77777777" w:rsidR="00500C0B" w:rsidRPr="00CC4E81" w:rsidRDefault="00500C0B">
      <w:pPr>
        <w:widowControl w:val="0"/>
        <w:spacing w:after="0" w:line="480" w:lineRule="auto"/>
        <w:rPr>
          <w:rFonts w:ascii="Times New Roman" w:eastAsia="Garamond" w:hAnsi="Times New Roman" w:cs="Times New Roman"/>
          <w:b/>
          <w:bCs/>
          <w:sz w:val="24"/>
          <w:szCs w:val="24"/>
          <w14:ligatures w14:val="standard"/>
        </w:rPr>
      </w:pPr>
    </w:p>
    <w:p w14:paraId="5965AA47" w14:textId="77777777" w:rsidR="00500C0B" w:rsidRPr="00CC4E81" w:rsidRDefault="00500C0B">
      <w:pPr>
        <w:widowControl w:val="0"/>
        <w:spacing w:after="0" w:line="480" w:lineRule="auto"/>
        <w:rPr>
          <w:rFonts w:ascii="Times New Roman" w:eastAsia="Garamond" w:hAnsi="Times New Roman" w:cs="Times New Roman"/>
          <w:b/>
          <w:bCs/>
          <w:sz w:val="24"/>
          <w:szCs w:val="24"/>
          <w14:ligatures w14:val="standard"/>
        </w:rPr>
      </w:pPr>
    </w:p>
    <w:p w14:paraId="2C424D6C" w14:textId="77777777" w:rsidR="00500C0B" w:rsidRPr="00CC4E81" w:rsidRDefault="00500C0B">
      <w:pPr>
        <w:widowControl w:val="0"/>
        <w:spacing w:after="0" w:line="480" w:lineRule="auto"/>
        <w:rPr>
          <w:rFonts w:ascii="Times New Roman" w:eastAsia="Garamond" w:hAnsi="Times New Roman" w:cs="Times New Roman"/>
          <w:b/>
          <w:bCs/>
          <w:sz w:val="24"/>
          <w:szCs w:val="24"/>
          <w14:ligatures w14:val="standard"/>
        </w:rPr>
      </w:pPr>
    </w:p>
    <w:p w14:paraId="06A0E3BB" w14:textId="77777777" w:rsidR="00500C0B" w:rsidRPr="00CC4E81" w:rsidRDefault="00500C0B">
      <w:pPr>
        <w:widowControl w:val="0"/>
        <w:spacing w:after="0" w:line="480" w:lineRule="auto"/>
        <w:rPr>
          <w:rFonts w:ascii="Times New Roman" w:eastAsia="Garamond" w:hAnsi="Times New Roman" w:cs="Times New Roman"/>
          <w:b/>
          <w:bCs/>
          <w:sz w:val="24"/>
          <w:szCs w:val="24"/>
          <w14:ligatures w14:val="standard"/>
        </w:rPr>
      </w:pPr>
    </w:p>
    <w:p w14:paraId="654D38F3" w14:textId="77777777" w:rsidR="00500C0B" w:rsidRPr="00CC4E81" w:rsidRDefault="00ED02EB">
      <w:pPr>
        <w:spacing w:after="0" w:line="240" w:lineRule="auto"/>
        <w:rPr>
          <w:rFonts w:ascii="Times New Roman" w:eastAsia="Garamond" w:hAnsi="Times New Roman" w:cs="Times New Roman"/>
          <w:b/>
          <w:bCs/>
          <w:sz w:val="24"/>
          <w:szCs w:val="24"/>
          <w14:ligatures w14:val="standard"/>
        </w:rPr>
      </w:pPr>
      <w:r w:rsidRPr="00CC4E81">
        <w:rPr>
          <w:rFonts w:ascii="Times New Roman" w:hAnsi="Times New Roman" w:cs="Times New Roman"/>
          <w:sz w:val="24"/>
          <w:szCs w:val="24"/>
        </w:rPr>
        <w:br w:type="page"/>
      </w:r>
    </w:p>
    <w:p w14:paraId="5E8EAF12" w14:textId="77777777" w:rsidR="00500C0B" w:rsidRPr="00CC4E81" w:rsidRDefault="00ED02EB">
      <w:pPr>
        <w:widowControl w:val="0"/>
        <w:spacing w:after="0" w:line="480" w:lineRule="auto"/>
        <w:rPr>
          <w:rFonts w:ascii="Times New Roman" w:eastAsia="Garamond" w:hAnsi="Times New Roman" w:cs="Times New Roman"/>
          <w:b/>
          <w:bCs/>
          <w:sz w:val="24"/>
          <w:szCs w:val="24"/>
          <w14:ligatures w14:val="standard"/>
        </w:rPr>
      </w:pPr>
      <w:r w:rsidRPr="00CC4E81">
        <w:rPr>
          <w:rFonts w:ascii="Times New Roman" w:eastAsia="Garamond" w:hAnsi="Times New Roman" w:cs="Times New Roman"/>
          <w:b/>
          <w:bCs/>
          <w:sz w:val="24"/>
          <w:szCs w:val="24"/>
          <w14:ligatures w14:val="standard"/>
        </w:rPr>
        <w:lastRenderedPageBreak/>
        <w:t>Introduction</w:t>
      </w:r>
    </w:p>
    <w:p w14:paraId="22DF3BDA" w14:textId="0BC2CC09" w:rsidR="00500C0B" w:rsidRPr="003B7D05" w:rsidRDefault="003B7D05" w:rsidP="003B7D05">
      <w:pPr>
        <w:spacing w:after="0" w:line="480" w:lineRule="auto"/>
        <w:ind w:firstLine="720"/>
        <w:rPr>
          <w:rFonts w:ascii="Times New Roman" w:eastAsia="Garamond" w:hAnsi="Times New Roman" w:cs="Times New Roman"/>
          <w:color w:val="EE0000"/>
          <w:sz w:val="24"/>
          <w:szCs w:val="24"/>
          <w14:ligatures w14:val="standard"/>
        </w:rPr>
      </w:pPr>
      <w:r w:rsidRPr="003B7D05">
        <w:rPr>
          <w:rFonts w:ascii="Times New Roman" w:eastAsia="Garamond" w:hAnsi="Times New Roman" w:cs="Times New Roman"/>
          <w:color w:val="EE0000"/>
          <w:sz w:val="24"/>
          <w:szCs w:val="24"/>
          <w14:ligatures w14:val="standard"/>
        </w:rPr>
        <w:t>Energy and environmental policy engender a multitude of critical governance</w:t>
      </w:r>
      <w:r w:rsidR="00ED02EB" w:rsidRPr="003B7D05">
        <w:rPr>
          <w:rFonts w:ascii="Times New Roman" w:eastAsia="Garamond" w:hAnsi="Times New Roman" w:cs="Times New Roman"/>
          <w:color w:val="EE0000"/>
          <w:sz w:val="24"/>
          <w:szCs w:val="24"/>
          <w14:ligatures w14:val="standard"/>
        </w:rPr>
        <w:t xml:space="preserve"> questions</w:t>
      </w:r>
      <w:r w:rsidRPr="003B7D05">
        <w:rPr>
          <w:rFonts w:ascii="Times New Roman" w:eastAsia="Garamond" w:hAnsi="Times New Roman" w:cs="Times New Roman"/>
          <w:color w:val="EE0000"/>
          <w:sz w:val="24"/>
          <w:szCs w:val="24"/>
          <w14:ligatures w14:val="standard"/>
        </w:rPr>
        <w:t>. Such questions often</w:t>
      </w:r>
      <w:r w:rsidR="00ED02EB" w:rsidRPr="003B7D05">
        <w:rPr>
          <w:rFonts w:ascii="Times New Roman" w:eastAsia="Garamond" w:hAnsi="Times New Roman" w:cs="Times New Roman"/>
          <w:color w:val="EE0000"/>
          <w:sz w:val="24"/>
          <w:szCs w:val="24"/>
          <w14:ligatures w14:val="standard"/>
        </w:rPr>
        <w:t xml:space="preserve"> </w:t>
      </w:r>
      <w:r w:rsidRPr="003B7D05">
        <w:rPr>
          <w:rFonts w:ascii="Times New Roman" w:eastAsia="Garamond" w:hAnsi="Times New Roman" w:cs="Times New Roman"/>
          <w:color w:val="EE0000"/>
          <w:sz w:val="24"/>
          <w:szCs w:val="24"/>
          <w14:ligatures w14:val="standard"/>
        </w:rPr>
        <w:t xml:space="preserve">center on effective </w:t>
      </w:r>
      <w:r w:rsidR="00ED02EB" w:rsidRPr="003B7D05">
        <w:rPr>
          <w:rFonts w:ascii="Times New Roman" w:eastAsia="Garamond" w:hAnsi="Times New Roman" w:cs="Times New Roman"/>
          <w:color w:val="EE0000"/>
          <w:sz w:val="24"/>
          <w:szCs w:val="24"/>
          <w14:ligatures w14:val="standard"/>
        </w:rPr>
        <w:t>policy</w:t>
      </w:r>
      <w:r w:rsidRPr="003B7D05">
        <w:rPr>
          <w:rFonts w:ascii="Times New Roman" w:eastAsia="Garamond" w:hAnsi="Times New Roman" w:cs="Times New Roman"/>
          <w:color w:val="EE0000"/>
          <w:sz w:val="24"/>
          <w:szCs w:val="24"/>
          <w14:ligatures w14:val="standard"/>
        </w:rPr>
        <w:t xml:space="preserve"> </w:t>
      </w:r>
      <w:r w:rsidR="00ED02EB" w:rsidRPr="003B7D05">
        <w:rPr>
          <w:rFonts w:ascii="Times New Roman" w:eastAsia="Garamond" w:hAnsi="Times New Roman" w:cs="Times New Roman"/>
          <w:color w:val="EE0000"/>
          <w:sz w:val="24"/>
          <w:szCs w:val="24"/>
          <w14:ligatures w14:val="standard"/>
        </w:rPr>
        <w:t>design</w:t>
      </w:r>
      <w:r w:rsidRPr="003B7D05">
        <w:rPr>
          <w:rFonts w:ascii="Times New Roman" w:eastAsia="Garamond" w:hAnsi="Times New Roman" w:cs="Times New Roman"/>
          <w:color w:val="EE0000"/>
          <w:sz w:val="24"/>
          <w:szCs w:val="24"/>
          <w14:ligatures w14:val="standard"/>
        </w:rPr>
        <w:t xml:space="preserve">, </w:t>
      </w:r>
      <w:r w:rsidR="00ED02EB" w:rsidRPr="003B7D05">
        <w:rPr>
          <w:rFonts w:ascii="Times New Roman" w:eastAsia="Garamond" w:hAnsi="Times New Roman" w:cs="Times New Roman"/>
          <w:color w:val="EE0000"/>
          <w:sz w:val="24"/>
          <w:szCs w:val="24"/>
          <w14:ligatures w14:val="standard"/>
        </w:rPr>
        <w:t>implement</w:t>
      </w:r>
      <w:r w:rsidRPr="003B7D05">
        <w:rPr>
          <w:rFonts w:ascii="Times New Roman" w:eastAsia="Garamond" w:hAnsi="Times New Roman" w:cs="Times New Roman"/>
          <w:color w:val="EE0000"/>
          <w:sz w:val="24"/>
          <w:szCs w:val="24"/>
          <w14:ligatures w14:val="standard"/>
        </w:rPr>
        <w:t xml:space="preserve">ation and how best to achieve multiple goals, often without clear priorities. </w:t>
      </w:r>
      <w:r w:rsidRPr="003B7D05">
        <w:rPr>
          <w:rFonts w:ascii="Times New Roman" w:hAnsi="Times New Roman" w:cs="Times New Roman"/>
          <w:color w:val="EE0000"/>
          <w:sz w:val="24"/>
          <w:szCs w:val="24"/>
        </w:rPr>
        <w:t xml:space="preserve">For oil and gas, the </w:t>
      </w:r>
      <w:r w:rsidR="00B02BC7" w:rsidRPr="003B7D05">
        <w:rPr>
          <w:rFonts w:ascii="Times New Roman" w:hAnsi="Times New Roman" w:cs="Times New Roman"/>
          <w:color w:val="EE0000"/>
          <w:sz w:val="24"/>
          <w:szCs w:val="24"/>
        </w:rPr>
        <w:t>federal government</w:t>
      </w:r>
      <w:r w:rsidRPr="003B7D05">
        <w:rPr>
          <w:rFonts w:ascii="Times New Roman" w:hAnsi="Times New Roman" w:cs="Times New Roman"/>
          <w:color w:val="EE0000"/>
          <w:sz w:val="24"/>
          <w:szCs w:val="24"/>
        </w:rPr>
        <w:t xml:space="preserve"> operates at the periphery with regulators focused on </w:t>
      </w:r>
      <w:r w:rsidR="00B02BC7" w:rsidRPr="003B7D05">
        <w:rPr>
          <w:rFonts w:ascii="Times New Roman" w:hAnsi="Times New Roman" w:cs="Times New Roman"/>
          <w:color w:val="EE0000"/>
          <w:sz w:val="24"/>
          <w:szCs w:val="24"/>
        </w:rPr>
        <w:t xml:space="preserve">managing </w:t>
      </w:r>
      <w:r w:rsidRPr="003B7D05">
        <w:rPr>
          <w:rFonts w:ascii="Times New Roman" w:hAnsi="Times New Roman" w:cs="Times New Roman"/>
          <w:color w:val="EE0000"/>
          <w:sz w:val="24"/>
          <w:szCs w:val="24"/>
        </w:rPr>
        <w:t>production</w:t>
      </w:r>
      <w:r w:rsidR="00B02BC7" w:rsidRPr="003B7D05">
        <w:rPr>
          <w:rFonts w:ascii="Times New Roman" w:hAnsi="Times New Roman" w:cs="Times New Roman"/>
          <w:color w:val="EE0000"/>
          <w:sz w:val="24"/>
          <w:szCs w:val="24"/>
        </w:rPr>
        <w:t xml:space="preserve"> </w:t>
      </w:r>
      <w:r w:rsidR="00D71102" w:rsidRPr="003B7D05">
        <w:rPr>
          <w:rFonts w:ascii="Times New Roman" w:hAnsi="Times New Roman" w:cs="Times New Roman"/>
          <w:color w:val="EE0000"/>
          <w:sz w:val="24"/>
          <w:szCs w:val="24"/>
        </w:rPr>
        <w:t>on</w:t>
      </w:r>
      <w:r w:rsidR="00B02BC7" w:rsidRPr="003B7D05">
        <w:rPr>
          <w:rFonts w:ascii="Times New Roman" w:hAnsi="Times New Roman" w:cs="Times New Roman"/>
          <w:color w:val="EE0000"/>
          <w:sz w:val="24"/>
          <w:szCs w:val="24"/>
        </w:rPr>
        <w:t xml:space="preserve"> federal lands, </w:t>
      </w:r>
      <w:r w:rsidRPr="003B7D05">
        <w:rPr>
          <w:rFonts w:ascii="Times New Roman" w:hAnsi="Times New Roman" w:cs="Times New Roman"/>
          <w:color w:val="EE0000"/>
          <w:sz w:val="24"/>
          <w:szCs w:val="24"/>
        </w:rPr>
        <w:t>some tax incentives</w:t>
      </w:r>
      <w:r w:rsidR="00B02BC7" w:rsidRPr="003B7D05">
        <w:rPr>
          <w:rFonts w:ascii="Times New Roman" w:hAnsi="Times New Roman" w:cs="Times New Roman"/>
          <w:color w:val="EE0000"/>
          <w:sz w:val="24"/>
          <w:szCs w:val="24"/>
        </w:rPr>
        <w:t xml:space="preserve">, </w:t>
      </w:r>
      <w:r w:rsidRPr="003B7D05">
        <w:rPr>
          <w:rFonts w:ascii="Times New Roman" w:hAnsi="Times New Roman" w:cs="Times New Roman"/>
          <w:color w:val="EE0000"/>
          <w:sz w:val="24"/>
          <w:szCs w:val="24"/>
        </w:rPr>
        <w:t xml:space="preserve">distributing money and resources, </w:t>
      </w:r>
      <w:r w:rsidR="00B02BC7" w:rsidRPr="003B7D05">
        <w:rPr>
          <w:rFonts w:ascii="Times New Roman" w:hAnsi="Times New Roman" w:cs="Times New Roman"/>
          <w:color w:val="EE0000"/>
          <w:sz w:val="24"/>
          <w:szCs w:val="24"/>
        </w:rPr>
        <w:t xml:space="preserve">and </w:t>
      </w:r>
      <w:r w:rsidRPr="003B7D05">
        <w:rPr>
          <w:rFonts w:ascii="Times New Roman" w:hAnsi="Times New Roman" w:cs="Times New Roman"/>
          <w:color w:val="EE0000"/>
          <w:sz w:val="24"/>
          <w:szCs w:val="24"/>
        </w:rPr>
        <w:t>engaging in</w:t>
      </w:r>
      <w:r w:rsidR="00B02BC7" w:rsidRPr="003B7D05">
        <w:rPr>
          <w:rFonts w:ascii="Times New Roman" w:hAnsi="Times New Roman" w:cs="Times New Roman"/>
          <w:color w:val="EE0000"/>
          <w:sz w:val="24"/>
          <w:szCs w:val="24"/>
        </w:rPr>
        <w:t xml:space="preserve"> global dynamics</w:t>
      </w:r>
      <w:r w:rsidRPr="003B7D05">
        <w:rPr>
          <w:rFonts w:ascii="Times New Roman" w:hAnsi="Times New Roman" w:cs="Times New Roman"/>
          <w:color w:val="EE0000"/>
          <w:sz w:val="24"/>
          <w:szCs w:val="24"/>
        </w:rPr>
        <w:t xml:space="preserve">, security, and shipping </w:t>
      </w:r>
      <w:r w:rsidR="003B137D" w:rsidRPr="003B7D05">
        <w:rPr>
          <w:rFonts w:ascii="Times New Roman" w:hAnsi="Times New Roman" w:cs="Times New Roman"/>
          <w:color w:val="EE0000"/>
          <w:sz w:val="24"/>
          <w:szCs w:val="24"/>
        </w:rPr>
        <w:t>(Fisk 2017)</w:t>
      </w:r>
      <w:r w:rsidR="00B02BC7" w:rsidRPr="003B7D05">
        <w:rPr>
          <w:rFonts w:ascii="Times New Roman" w:hAnsi="Times New Roman" w:cs="Times New Roman"/>
          <w:color w:val="EE0000"/>
          <w:sz w:val="24"/>
          <w:szCs w:val="24"/>
        </w:rPr>
        <w:t xml:space="preserve">. By </w:t>
      </w:r>
      <w:r w:rsidRPr="003B7D05">
        <w:rPr>
          <w:rFonts w:ascii="Times New Roman" w:hAnsi="Times New Roman" w:cs="Times New Roman"/>
          <w:color w:val="EE0000"/>
          <w:sz w:val="24"/>
          <w:szCs w:val="24"/>
        </w:rPr>
        <w:t>contrast</w:t>
      </w:r>
      <w:r w:rsidR="00B02BC7" w:rsidRPr="003B7D05">
        <w:rPr>
          <w:rFonts w:ascii="Times New Roman" w:hAnsi="Times New Roman" w:cs="Times New Roman"/>
          <w:color w:val="EE0000"/>
          <w:sz w:val="24"/>
          <w:szCs w:val="24"/>
        </w:rPr>
        <w:t xml:space="preserve">, </w:t>
      </w:r>
      <w:r w:rsidR="00B02BC7" w:rsidRPr="003B7D05">
        <w:rPr>
          <w:rFonts w:ascii="Times New Roman" w:eastAsia="Garamond" w:hAnsi="Times New Roman" w:cs="Times New Roman"/>
          <w:color w:val="EE0000"/>
          <w:sz w:val="24"/>
          <w:szCs w:val="24"/>
          <w14:ligatures w14:val="standard"/>
        </w:rPr>
        <w:t xml:space="preserve">state governments </w:t>
      </w:r>
      <w:r w:rsidRPr="003B7D05">
        <w:rPr>
          <w:rFonts w:ascii="Times New Roman" w:eastAsia="Garamond" w:hAnsi="Times New Roman" w:cs="Times New Roman"/>
          <w:color w:val="EE0000"/>
          <w:sz w:val="24"/>
          <w:szCs w:val="24"/>
          <w14:ligatures w14:val="standard"/>
        </w:rPr>
        <w:t>and regulators form the core of oil and gas governance. Today, state policymakers enact</w:t>
      </w:r>
      <w:r w:rsidR="00B02BC7" w:rsidRPr="003B7D05">
        <w:rPr>
          <w:rFonts w:ascii="Times New Roman" w:eastAsia="Garamond" w:hAnsi="Times New Roman" w:cs="Times New Roman"/>
          <w:color w:val="EE0000"/>
          <w:sz w:val="24"/>
          <w:szCs w:val="24"/>
          <w14:ligatures w14:val="standard"/>
        </w:rPr>
        <w:t xml:space="preserve"> and enforce </w:t>
      </w:r>
      <w:r w:rsidRPr="003B7D05">
        <w:rPr>
          <w:rFonts w:ascii="Times New Roman" w:eastAsia="Garamond" w:hAnsi="Times New Roman" w:cs="Times New Roman"/>
          <w:color w:val="EE0000"/>
          <w:sz w:val="24"/>
          <w:szCs w:val="24"/>
          <w14:ligatures w14:val="standard"/>
        </w:rPr>
        <w:t>the vast majority</w:t>
      </w:r>
      <w:r w:rsidR="00B02BC7" w:rsidRPr="003B7D05">
        <w:rPr>
          <w:rFonts w:ascii="Times New Roman" w:eastAsia="Garamond" w:hAnsi="Times New Roman" w:cs="Times New Roman"/>
          <w:color w:val="EE0000"/>
          <w:sz w:val="24"/>
          <w:szCs w:val="24"/>
          <w14:ligatures w14:val="standard"/>
        </w:rPr>
        <w:t xml:space="preserve"> rules </w:t>
      </w:r>
      <w:r w:rsidR="00B02BC7" w:rsidRPr="003B7D05">
        <w:rPr>
          <w:rFonts w:ascii="Times New Roman" w:hAnsi="Times New Roman" w:cs="Times New Roman"/>
          <w:color w:val="EE0000"/>
          <w:sz w:val="24"/>
          <w:szCs w:val="24"/>
        </w:rPr>
        <w:t>relative to oil and gas production</w:t>
      </w:r>
      <w:r w:rsidRPr="003B7D05">
        <w:rPr>
          <w:rFonts w:ascii="Times New Roman" w:hAnsi="Times New Roman" w:cs="Times New Roman"/>
          <w:color w:val="EE0000"/>
          <w:sz w:val="24"/>
          <w:szCs w:val="24"/>
        </w:rPr>
        <w:t xml:space="preserve"> with regulators promulgating rules and administrative processes tied to multiple goals such as ensuring efficient production, promoting economic development, and protecting public health and the environment</w:t>
      </w:r>
      <w:r w:rsidR="00B02BC7" w:rsidRPr="003B7D05">
        <w:rPr>
          <w:rFonts w:ascii="Times New Roman" w:hAnsi="Times New Roman" w:cs="Times New Roman"/>
          <w:color w:val="EE0000"/>
          <w:sz w:val="24"/>
          <w:szCs w:val="24"/>
        </w:rPr>
        <w:t xml:space="preserve"> </w:t>
      </w:r>
      <w:r w:rsidR="000B23BF" w:rsidRPr="003B7D05">
        <w:rPr>
          <w:rFonts w:ascii="Times New Roman" w:hAnsi="Times New Roman" w:cs="Times New Roman"/>
          <w:color w:val="EE0000"/>
          <w:sz w:val="24"/>
          <w:szCs w:val="24"/>
        </w:rPr>
        <w:t>(</w:t>
      </w:r>
      <w:r w:rsidRPr="003B7D05">
        <w:rPr>
          <w:rFonts w:ascii="Times New Roman" w:hAnsi="Times New Roman" w:cs="Times New Roman"/>
          <w:color w:val="EE0000"/>
          <w:sz w:val="24"/>
          <w:szCs w:val="24"/>
        </w:rPr>
        <w:t xml:space="preserve">Amin et al. 2025; </w:t>
      </w:r>
      <w:r w:rsidR="000B23BF" w:rsidRPr="003B7D05">
        <w:rPr>
          <w:rFonts w:ascii="Times New Roman" w:hAnsi="Times New Roman" w:cs="Times New Roman"/>
          <w:color w:val="EE0000"/>
          <w:sz w:val="24"/>
          <w:szCs w:val="24"/>
        </w:rPr>
        <w:t>Fisk, Jordan, and Good 2022; Pautz and Rinfret 2013)</w:t>
      </w:r>
      <w:r w:rsidR="007A4B05" w:rsidRPr="003B7D05">
        <w:rPr>
          <w:rFonts w:ascii="Times New Roman" w:eastAsia="Garamond" w:hAnsi="Times New Roman" w:cs="Times New Roman"/>
          <w:color w:val="EE0000"/>
          <w:sz w:val="24"/>
          <w:szCs w:val="24"/>
          <w14:ligatures w14:val="standard"/>
        </w:rPr>
        <w:t xml:space="preserve">. </w:t>
      </w:r>
      <w:r w:rsidRPr="003B7D05">
        <w:rPr>
          <w:rFonts w:ascii="Times New Roman" w:eastAsia="Garamond" w:hAnsi="Times New Roman" w:cs="Times New Roman"/>
          <w:color w:val="EE0000"/>
          <w:sz w:val="24"/>
          <w:szCs w:val="24"/>
          <w14:ligatures w14:val="standard"/>
        </w:rPr>
        <w:t>In the pursuit of these goals, agencies utilize a variety of regulatory actions, generate copious data, and engage with a wide variety of stakeholders. These, in turn, produce a wide range of performance outputs</w:t>
      </w:r>
      <w:r w:rsidR="00ED02EB" w:rsidRPr="003B7D05">
        <w:rPr>
          <w:rFonts w:ascii="Times New Roman" w:eastAsia="Garamond" w:hAnsi="Times New Roman" w:cs="Times New Roman"/>
          <w:color w:val="EE0000"/>
          <w:sz w:val="24"/>
          <w:szCs w:val="24"/>
          <w14:ligatures w14:val="standard"/>
        </w:rPr>
        <w:t xml:space="preserve">. </w:t>
      </w:r>
      <w:r w:rsidRPr="003B7D05">
        <w:rPr>
          <w:rFonts w:ascii="Times New Roman" w:eastAsia="Garamond" w:hAnsi="Times New Roman" w:cs="Times New Roman"/>
          <w:color w:val="EE0000"/>
          <w:sz w:val="24"/>
          <w:szCs w:val="24"/>
          <w14:ligatures w14:val="standard"/>
        </w:rPr>
        <w:t xml:space="preserve">This latter output is key, as conflictual regulatory encounters can generate inefficiencies and poor outcomes whereas overly friendly encounters may precipitate calls of regulatory capture and a loss of trust </w:t>
      </w:r>
      <w:r w:rsidR="00ED02EB" w:rsidRPr="003B7D05">
        <w:rPr>
          <w:rFonts w:ascii="Times New Roman" w:hAnsi="Times New Roman" w:cs="Times New Roman"/>
          <w:color w:val="EE0000"/>
          <w:sz w:val="24"/>
          <w:szCs w:val="24"/>
        </w:rPr>
        <w:t>(Fisk, Jordan, and Good 2022)</w:t>
      </w:r>
      <w:r w:rsidR="00ED02EB" w:rsidRPr="003B7D05">
        <w:rPr>
          <w:rFonts w:ascii="Times New Roman" w:eastAsia="Garamond" w:hAnsi="Times New Roman" w:cs="Times New Roman"/>
          <w:color w:val="EE0000"/>
          <w:sz w:val="24"/>
          <w:szCs w:val="24"/>
          <w14:ligatures w14:val="standard"/>
        </w:rPr>
        <w:t xml:space="preserve">.  </w:t>
      </w:r>
      <w:r w:rsidRPr="003B7D05">
        <w:rPr>
          <w:rFonts w:ascii="Times New Roman" w:eastAsia="Garamond" w:hAnsi="Times New Roman" w:cs="Times New Roman"/>
          <w:color w:val="EE0000"/>
          <w:sz w:val="24"/>
          <w:szCs w:val="24"/>
          <w14:ligatures w14:val="standard"/>
        </w:rPr>
        <w:t>Importantly, previous research has shown</w:t>
      </w:r>
      <w:r w:rsidRPr="003B7D05">
        <w:rPr>
          <w:rFonts w:ascii="Times New Roman" w:eastAsia="Garamond" w:hAnsi="Times New Roman" w:cs="Times New Roman"/>
          <w:b/>
          <w:bCs/>
          <w:color w:val="EE0000"/>
          <w:sz w:val="24"/>
          <w:szCs w:val="24"/>
          <w14:ligatures w14:val="standard"/>
        </w:rPr>
        <w:t xml:space="preserve"> </w:t>
      </w:r>
      <w:r w:rsidRPr="003B7D05">
        <w:rPr>
          <w:rStyle w:val="Strong"/>
          <w:rFonts w:ascii="Times New Roman" w:hAnsi="Times New Roman" w:cs="Times New Roman"/>
          <w:b w:val="0"/>
          <w:bCs w:val="0"/>
          <w:color w:val="EE0000"/>
          <w:sz w:val="24"/>
          <w:szCs w:val="24"/>
        </w:rPr>
        <w:t>that disclosure policies can shape related outputs by making agency performance more transparent and available to the public.</w:t>
      </w:r>
      <w:r w:rsidRPr="003B7D05">
        <w:rPr>
          <w:rStyle w:val="Strong"/>
          <w:color w:val="EE0000"/>
        </w:rPr>
        <w:t xml:space="preserve"> </w:t>
      </w:r>
    </w:p>
    <w:p w14:paraId="3B711D28" w14:textId="58392F05" w:rsidR="003B7D05" w:rsidRDefault="003B7D05" w:rsidP="003B7D05">
      <w:pPr>
        <w:spacing w:after="0" w:line="480" w:lineRule="auto"/>
        <w:ind w:firstLine="720"/>
        <w:rPr>
          <w:rFonts w:ascii="Times New Roman" w:eastAsia="Times New Roman" w:hAnsi="Times New Roman" w:cs="Times New Roman"/>
          <w:color w:val="EE0000"/>
          <w:sz w:val="24"/>
          <w:szCs w:val="24"/>
          <w14:ligatures w14:val="none"/>
        </w:rPr>
      </w:pPr>
      <w:r w:rsidRPr="003B7D05">
        <w:rPr>
          <w:rFonts w:ascii="Times New Roman" w:eastAsia="Garamond" w:hAnsi="Times New Roman" w:cs="Times New Roman"/>
          <w:color w:val="EE0000"/>
          <w:sz w:val="24"/>
          <w:szCs w:val="24"/>
          <w14:ligatures w14:val="standard"/>
        </w:rPr>
        <w:t>O</w:t>
      </w:r>
      <w:r w:rsidR="00ED02EB" w:rsidRPr="003B7D05">
        <w:rPr>
          <w:rFonts w:ascii="Times New Roman" w:eastAsia="Garamond" w:hAnsi="Times New Roman" w:cs="Times New Roman"/>
          <w:color w:val="EE0000"/>
          <w:sz w:val="24"/>
          <w:szCs w:val="24"/>
          <w14:ligatures w14:val="standard"/>
        </w:rPr>
        <w:t xml:space="preserve">il and gas </w:t>
      </w:r>
      <w:r w:rsidRPr="003B7D05">
        <w:rPr>
          <w:rFonts w:ascii="Times New Roman" w:eastAsia="Garamond" w:hAnsi="Times New Roman" w:cs="Times New Roman"/>
          <w:color w:val="EE0000"/>
          <w:sz w:val="24"/>
          <w:szCs w:val="24"/>
          <w14:ligatures w14:val="standard"/>
        </w:rPr>
        <w:t>data</w:t>
      </w:r>
      <w:r w:rsidR="00ED02EB" w:rsidRPr="003B7D05">
        <w:rPr>
          <w:rFonts w:ascii="Times New Roman" w:eastAsia="Garamond" w:hAnsi="Times New Roman" w:cs="Times New Roman"/>
          <w:color w:val="EE0000"/>
          <w:sz w:val="24"/>
          <w:szCs w:val="24"/>
          <w14:ligatures w14:val="standard"/>
        </w:rPr>
        <w:t xml:space="preserve"> </w:t>
      </w:r>
      <w:r w:rsidRPr="003B7D05">
        <w:rPr>
          <w:rFonts w:ascii="Times New Roman" w:eastAsia="Garamond" w:hAnsi="Times New Roman" w:cs="Times New Roman"/>
          <w:color w:val="EE0000"/>
          <w:sz w:val="24"/>
          <w:szCs w:val="24"/>
          <w14:ligatures w14:val="standard"/>
        </w:rPr>
        <w:t xml:space="preserve">includes a wide variety of performance indicators: </w:t>
      </w:r>
      <w:r w:rsidR="00ED02EB" w:rsidRPr="003B7D05">
        <w:rPr>
          <w:rFonts w:ascii="Times New Roman" w:eastAsia="Garamond" w:hAnsi="Times New Roman" w:cs="Times New Roman"/>
          <w:color w:val="EE0000"/>
          <w:sz w:val="24"/>
          <w:szCs w:val="24"/>
          <w14:ligatures w14:val="standard"/>
        </w:rPr>
        <w:t>inspections</w:t>
      </w:r>
      <w:r w:rsidRPr="003B7D05">
        <w:rPr>
          <w:rFonts w:ascii="Times New Roman" w:eastAsia="Garamond" w:hAnsi="Times New Roman" w:cs="Times New Roman"/>
          <w:color w:val="EE0000"/>
          <w:sz w:val="24"/>
          <w:szCs w:val="24"/>
          <w14:ligatures w14:val="standard"/>
        </w:rPr>
        <w:t xml:space="preserve"> and the related results</w:t>
      </w:r>
      <w:r w:rsidR="00ED02EB" w:rsidRPr="003B7D05">
        <w:rPr>
          <w:rFonts w:ascii="Times New Roman" w:eastAsia="Garamond" w:hAnsi="Times New Roman" w:cs="Times New Roman"/>
          <w:color w:val="EE0000"/>
          <w:sz w:val="24"/>
          <w:szCs w:val="24"/>
          <w14:ligatures w14:val="standard"/>
        </w:rPr>
        <w:t xml:space="preserve">, </w:t>
      </w:r>
      <w:r w:rsidRPr="003B7D05">
        <w:rPr>
          <w:rFonts w:ascii="Times New Roman" w:eastAsia="Garamond" w:hAnsi="Times New Roman" w:cs="Times New Roman"/>
          <w:color w:val="EE0000"/>
          <w:sz w:val="24"/>
          <w:szCs w:val="24"/>
          <w14:ligatures w14:val="standard"/>
        </w:rPr>
        <w:t>recording of</w:t>
      </w:r>
      <w:r w:rsidR="00ED02EB" w:rsidRPr="003B7D05">
        <w:rPr>
          <w:rFonts w:ascii="Times New Roman" w:eastAsia="Garamond" w:hAnsi="Times New Roman" w:cs="Times New Roman"/>
          <w:color w:val="EE0000"/>
          <w:sz w:val="24"/>
          <w:szCs w:val="24"/>
          <w14:ligatures w14:val="standard"/>
        </w:rPr>
        <w:t xml:space="preserve"> violations (if any), </w:t>
      </w:r>
      <w:r w:rsidRPr="003B7D05">
        <w:rPr>
          <w:rFonts w:ascii="Times New Roman" w:eastAsia="Garamond" w:hAnsi="Times New Roman" w:cs="Times New Roman"/>
          <w:color w:val="EE0000"/>
          <w:sz w:val="24"/>
          <w:szCs w:val="24"/>
          <w14:ligatures w14:val="standard"/>
        </w:rPr>
        <w:t>and the use</w:t>
      </w:r>
      <w:r w:rsidR="00ED02EB" w:rsidRPr="003B7D05">
        <w:rPr>
          <w:rFonts w:ascii="Times New Roman" w:eastAsia="Garamond" w:hAnsi="Times New Roman" w:cs="Times New Roman"/>
          <w:color w:val="EE0000"/>
          <w:sz w:val="24"/>
          <w:szCs w:val="24"/>
          <w14:ligatures w14:val="standard"/>
        </w:rPr>
        <w:t xml:space="preserve"> of administrative </w:t>
      </w:r>
      <w:r w:rsidRPr="003B7D05">
        <w:rPr>
          <w:rFonts w:ascii="Times New Roman" w:eastAsia="Garamond" w:hAnsi="Times New Roman" w:cs="Times New Roman"/>
          <w:color w:val="EE0000"/>
          <w:sz w:val="24"/>
          <w:szCs w:val="24"/>
          <w14:ligatures w14:val="standard"/>
        </w:rPr>
        <w:t>tools</w:t>
      </w:r>
      <w:r w:rsidR="00ED02EB" w:rsidRPr="003B7D05">
        <w:rPr>
          <w:rFonts w:ascii="Times New Roman" w:eastAsia="Garamond" w:hAnsi="Times New Roman" w:cs="Times New Roman"/>
          <w:color w:val="EE0000"/>
          <w:sz w:val="24"/>
          <w:szCs w:val="24"/>
          <w14:ligatures w14:val="standard"/>
        </w:rPr>
        <w:t xml:space="preserve"> (if necessary) to address the violations, and follow-up inspections to ensure firm compliance. </w:t>
      </w:r>
      <w:r w:rsidRPr="003B7D05">
        <w:rPr>
          <w:rFonts w:ascii="Times New Roman" w:eastAsia="Garamond" w:hAnsi="Times New Roman" w:cs="Times New Roman"/>
          <w:color w:val="EE0000"/>
          <w:sz w:val="24"/>
          <w:szCs w:val="24"/>
          <w14:ligatures w14:val="standard"/>
        </w:rPr>
        <w:t xml:space="preserve">Importantly, however, these outputs are not ‘one-off’ events, i.e., the inspector finds a violation and issues a notice of violation. Rather, these outputs routed through district or regional offices where they </w:t>
      </w:r>
      <w:r w:rsidRPr="003B7D05">
        <w:rPr>
          <w:rFonts w:ascii="Times New Roman" w:eastAsia="Garamond" w:hAnsi="Times New Roman" w:cs="Times New Roman"/>
          <w:color w:val="EE0000"/>
          <w:sz w:val="24"/>
          <w:szCs w:val="24"/>
          <w14:ligatures w14:val="standard"/>
        </w:rPr>
        <w:lastRenderedPageBreak/>
        <w:t>are reviewed. In Texas, for example, the Railroad commission notes that “</w:t>
      </w:r>
      <w:r w:rsidRPr="003B7D05">
        <w:rPr>
          <w:rFonts w:ascii="Times New Roman" w:eastAsia="Times New Roman" w:hAnsi="Times New Roman" w:cs="Times New Roman"/>
          <w:color w:val="EE0000"/>
          <w:sz w:val="24"/>
          <w:szCs w:val="24"/>
          <w14:ligatures w14:val="none"/>
        </w:rPr>
        <w:t>staﬀ in the district oﬃces review completed inspections, assist operators and the public with</w:t>
      </w:r>
      <w:r w:rsidRPr="003B7D05">
        <w:rPr>
          <w:rFonts w:ascii="Times New Roman" w:eastAsia="Garamond" w:hAnsi="Times New Roman" w:cs="Times New Roman"/>
          <w:color w:val="EE0000"/>
          <w:sz w:val="24"/>
          <w:szCs w:val="24"/>
          <w14:ligatures w14:val="standard"/>
        </w:rPr>
        <w:t xml:space="preserve"> </w:t>
      </w:r>
      <w:r w:rsidRPr="003B7D05">
        <w:rPr>
          <w:rFonts w:ascii="Times New Roman" w:eastAsia="Times New Roman" w:hAnsi="Times New Roman" w:cs="Times New Roman"/>
          <w:color w:val="EE0000"/>
          <w:sz w:val="24"/>
          <w:szCs w:val="24"/>
          <w14:ligatures w14:val="none"/>
        </w:rPr>
        <w:t>questions or concerns, issue correspondence to operators, track compliance, and make referrals to Legal</w:t>
      </w:r>
      <w:r w:rsidRPr="003B7D05">
        <w:rPr>
          <w:rFonts w:ascii="Times New Roman" w:eastAsia="Garamond" w:hAnsi="Times New Roman" w:cs="Times New Roman"/>
          <w:color w:val="EE0000"/>
          <w:sz w:val="24"/>
          <w:szCs w:val="24"/>
          <w14:ligatures w14:val="standard"/>
        </w:rPr>
        <w:t xml:space="preserve"> </w:t>
      </w:r>
      <w:r w:rsidRPr="003B7D05">
        <w:rPr>
          <w:rFonts w:ascii="Times New Roman" w:eastAsia="Times New Roman" w:hAnsi="Times New Roman" w:cs="Times New Roman"/>
          <w:color w:val="EE0000"/>
          <w:sz w:val="24"/>
          <w:szCs w:val="24"/>
          <w14:ligatures w14:val="none"/>
        </w:rPr>
        <w:t xml:space="preserve">Enforcement as needed.” This administrative reality, we suggest, shines a bright light on </w:t>
      </w:r>
      <w:r w:rsidR="005D5553">
        <w:rPr>
          <w:rFonts w:ascii="Times New Roman" w:eastAsia="Times New Roman" w:hAnsi="Times New Roman" w:cs="Times New Roman"/>
          <w:color w:val="EE0000"/>
          <w:sz w:val="24"/>
          <w:szCs w:val="24"/>
          <w14:ligatures w14:val="none"/>
        </w:rPr>
        <w:t>potential interactions among disclosure, district-level offices, and</w:t>
      </w:r>
      <w:r>
        <w:rPr>
          <w:rFonts w:ascii="Times New Roman" w:eastAsia="Times New Roman" w:hAnsi="Times New Roman" w:cs="Times New Roman"/>
          <w:color w:val="EE0000"/>
          <w:sz w:val="24"/>
          <w:szCs w:val="24"/>
          <w14:ligatures w14:val="none"/>
        </w:rPr>
        <w:t xml:space="preserve"> performance outputs</w:t>
      </w:r>
      <w:r w:rsidR="005D5553">
        <w:rPr>
          <w:rFonts w:ascii="Times New Roman" w:eastAsia="Times New Roman" w:hAnsi="Times New Roman" w:cs="Times New Roman"/>
          <w:color w:val="EE0000"/>
          <w:sz w:val="24"/>
          <w:szCs w:val="24"/>
          <w14:ligatures w14:val="none"/>
        </w:rPr>
        <w:t xml:space="preserve">. </w:t>
      </w:r>
    </w:p>
    <w:p w14:paraId="7012FB7C" w14:textId="08F1580E" w:rsidR="00500C0B" w:rsidRPr="003B7D05" w:rsidRDefault="00716940">
      <w:pPr>
        <w:spacing w:after="0" w:line="480" w:lineRule="auto"/>
        <w:ind w:firstLine="720"/>
        <w:rPr>
          <w:rFonts w:ascii="Times New Roman" w:eastAsia="Garamond" w:hAnsi="Times New Roman" w:cs="Times New Roman"/>
          <w:color w:val="EE0000"/>
          <w:sz w:val="24"/>
          <w:szCs w:val="24"/>
          <w14:ligatures w14:val="standard"/>
        </w:rPr>
      </w:pPr>
      <w:r w:rsidRPr="003B7D05">
        <w:rPr>
          <w:rFonts w:ascii="Times New Roman" w:eastAsia="Garamond" w:hAnsi="Times New Roman" w:cs="Times New Roman"/>
          <w:color w:val="EE0000"/>
          <w:sz w:val="24"/>
          <w:szCs w:val="24"/>
          <w14:ligatures w14:val="standard"/>
        </w:rPr>
        <w:t xml:space="preserve">To </w:t>
      </w:r>
      <w:r w:rsidR="00ED02EB" w:rsidRPr="003B7D05">
        <w:rPr>
          <w:rFonts w:ascii="Times New Roman" w:eastAsia="Garamond" w:hAnsi="Times New Roman" w:cs="Times New Roman"/>
          <w:color w:val="EE0000"/>
          <w:sz w:val="24"/>
          <w:szCs w:val="24"/>
          <w14:ligatures w14:val="standard"/>
        </w:rPr>
        <w:t>address t</w:t>
      </w:r>
      <w:r w:rsidR="003B7D05" w:rsidRPr="003B7D05">
        <w:rPr>
          <w:rFonts w:ascii="Times New Roman" w:eastAsia="Garamond" w:hAnsi="Times New Roman" w:cs="Times New Roman"/>
          <w:color w:val="EE0000"/>
          <w:sz w:val="24"/>
          <w:szCs w:val="24"/>
          <w14:ligatures w14:val="standard"/>
        </w:rPr>
        <w:t>he potential</w:t>
      </w:r>
      <w:r w:rsidR="00ED02EB" w:rsidRPr="003B7D05">
        <w:rPr>
          <w:rFonts w:ascii="Times New Roman" w:eastAsia="Garamond" w:hAnsi="Times New Roman" w:cs="Times New Roman"/>
          <w:color w:val="EE0000"/>
          <w:sz w:val="24"/>
          <w:szCs w:val="24"/>
          <w14:ligatures w14:val="standard"/>
        </w:rPr>
        <w:t xml:space="preserve"> </w:t>
      </w:r>
      <w:r w:rsidR="003B7D05" w:rsidRPr="003B7D05">
        <w:rPr>
          <w:rFonts w:ascii="Times New Roman" w:eastAsia="Garamond" w:hAnsi="Times New Roman" w:cs="Times New Roman"/>
          <w:color w:val="EE0000"/>
          <w:sz w:val="24"/>
          <w:szCs w:val="24"/>
          <w14:ligatures w14:val="standard"/>
        </w:rPr>
        <w:t>links among</w:t>
      </w:r>
      <w:r w:rsidR="00ED02EB" w:rsidRPr="003B7D05">
        <w:rPr>
          <w:rFonts w:ascii="Times New Roman" w:eastAsia="Garamond" w:hAnsi="Times New Roman" w:cs="Times New Roman"/>
          <w:color w:val="EE0000"/>
          <w:sz w:val="24"/>
          <w:szCs w:val="24"/>
          <w14:ligatures w14:val="standard"/>
        </w:rPr>
        <w:t xml:space="preserve"> disclosure</w:t>
      </w:r>
      <w:r w:rsidR="003B7D05" w:rsidRPr="003B7D05">
        <w:rPr>
          <w:rFonts w:ascii="Times New Roman" w:eastAsia="Garamond" w:hAnsi="Times New Roman" w:cs="Times New Roman"/>
          <w:color w:val="EE0000"/>
          <w:sz w:val="24"/>
          <w:szCs w:val="24"/>
          <w14:ligatures w14:val="standard"/>
        </w:rPr>
        <w:t>, district/regional offices</w:t>
      </w:r>
      <w:r w:rsidR="006455C2" w:rsidRPr="003B7D05">
        <w:rPr>
          <w:rFonts w:ascii="Times New Roman" w:eastAsia="Garamond" w:hAnsi="Times New Roman" w:cs="Times New Roman"/>
          <w:color w:val="EE0000"/>
          <w:sz w:val="24"/>
          <w:szCs w:val="24"/>
          <w14:ligatures w14:val="standard"/>
        </w:rPr>
        <w:t>,</w:t>
      </w:r>
      <w:r w:rsidR="00ED02EB" w:rsidRPr="003B7D05">
        <w:rPr>
          <w:rFonts w:ascii="Times New Roman" w:eastAsia="Garamond" w:hAnsi="Times New Roman" w:cs="Times New Roman"/>
          <w:color w:val="EE0000"/>
          <w:sz w:val="24"/>
          <w:szCs w:val="24"/>
          <w14:ligatures w14:val="standard"/>
        </w:rPr>
        <w:t xml:space="preserve"> </w:t>
      </w:r>
      <w:r w:rsidR="003B7D05" w:rsidRPr="003B7D05">
        <w:rPr>
          <w:rFonts w:ascii="Times New Roman" w:eastAsia="Garamond" w:hAnsi="Times New Roman" w:cs="Times New Roman"/>
          <w:color w:val="EE0000"/>
          <w:sz w:val="24"/>
          <w:szCs w:val="24"/>
          <w14:ligatures w14:val="standard"/>
        </w:rPr>
        <w:t>and performance, we take advantage of a 2019 policy change that required the Railroad Commission of Texas to publicly disclose the results of inspections, violations, and administrative actions to bring the operator back into compliance. The dataset itself contains over ______</w:t>
      </w:r>
      <w:r w:rsidR="00D71102" w:rsidRPr="003B7D05">
        <w:rPr>
          <w:rFonts w:ascii="Times New Roman" w:eastAsia="Garamond" w:hAnsi="Times New Roman" w:cs="Times New Roman"/>
          <w:color w:val="EE0000"/>
          <w:sz w:val="24"/>
          <w:szCs w:val="24"/>
          <w14:ligatures w14:val="standard"/>
        </w:rPr>
        <w:t xml:space="preserve"> </w:t>
      </w:r>
      <w:r w:rsidR="003B7D05" w:rsidRPr="003B7D05">
        <w:rPr>
          <w:rFonts w:ascii="Times New Roman" w:eastAsia="Garamond" w:hAnsi="Times New Roman" w:cs="Times New Roman"/>
          <w:color w:val="EE0000"/>
          <w:sz w:val="24"/>
          <w:szCs w:val="24"/>
          <w14:ligatures w14:val="standard"/>
        </w:rPr>
        <w:t>unique and place-specific actions associated with</w:t>
      </w:r>
      <w:r w:rsidR="00ED02EB" w:rsidRPr="003B7D05">
        <w:rPr>
          <w:rFonts w:ascii="Times New Roman" w:eastAsia="Garamond" w:hAnsi="Times New Roman" w:cs="Times New Roman"/>
          <w:color w:val="EE0000"/>
          <w:sz w:val="24"/>
          <w:szCs w:val="24"/>
          <w14:ligatures w14:val="standard"/>
        </w:rPr>
        <w:t xml:space="preserve"> </w:t>
      </w:r>
      <w:r w:rsidR="006455C2" w:rsidRPr="003B7D05">
        <w:rPr>
          <w:rFonts w:ascii="Times New Roman" w:eastAsia="Garamond" w:hAnsi="Times New Roman" w:cs="Times New Roman"/>
          <w:color w:val="EE0000"/>
          <w:sz w:val="24"/>
          <w:szCs w:val="24"/>
          <w14:ligatures w14:val="standard"/>
        </w:rPr>
        <w:t xml:space="preserve">oil and gas enforcement </w:t>
      </w:r>
      <w:r w:rsidR="003B7D05" w:rsidRPr="003B7D05">
        <w:rPr>
          <w:rFonts w:ascii="Times New Roman" w:eastAsia="Garamond" w:hAnsi="Times New Roman" w:cs="Times New Roman"/>
          <w:color w:val="EE0000"/>
          <w:sz w:val="24"/>
          <w:szCs w:val="24"/>
          <w14:ligatures w14:val="standard"/>
        </w:rPr>
        <w:t>recorded</w:t>
      </w:r>
      <w:r w:rsidR="00ED02EB" w:rsidRPr="003B7D05">
        <w:rPr>
          <w:rFonts w:ascii="Times New Roman" w:eastAsia="Garamond" w:hAnsi="Times New Roman" w:cs="Times New Roman"/>
          <w:color w:val="EE0000"/>
          <w:sz w:val="24"/>
          <w:szCs w:val="24"/>
          <w14:ligatures w14:val="standard"/>
        </w:rPr>
        <w:t xml:space="preserve"> by the Railroad Commission of Texas </w:t>
      </w:r>
      <w:r w:rsidR="006455C2" w:rsidRPr="003B7D05">
        <w:rPr>
          <w:rFonts w:ascii="Times New Roman" w:eastAsia="Garamond" w:hAnsi="Times New Roman" w:cs="Times New Roman"/>
          <w:color w:val="EE0000"/>
          <w:sz w:val="24"/>
          <w:szCs w:val="24"/>
          <w14:ligatures w14:val="standard"/>
        </w:rPr>
        <w:t xml:space="preserve">(RRC) </w:t>
      </w:r>
      <w:r w:rsidR="00ED02EB" w:rsidRPr="003B7D05">
        <w:rPr>
          <w:rFonts w:ascii="Times New Roman" w:eastAsia="Garamond" w:hAnsi="Times New Roman" w:cs="Times New Roman"/>
          <w:color w:val="EE0000"/>
          <w:sz w:val="24"/>
          <w:szCs w:val="24"/>
          <w14:ligatures w14:val="standard"/>
        </w:rPr>
        <w:t>between August 2015 and December 202</w:t>
      </w:r>
      <w:r w:rsidR="003B7D05" w:rsidRPr="003B7D05">
        <w:rPr>
          <w:rFonts w:ascii="Times New Roman" w:eastAsia="Garamond" w:hAnsi="Times New Roman" w:cs="Times New Roman"/>
          <w:color w:val="EE0000"/>
          <w:sz w:val="24"/>
          <w:szCs w:val="24"/>
          <w14:ligatures w14:val="standard"/>
        </w:rPr>
        <w:t>4</w:t>
      </w:r>
      <w:r w:rsidR="00ED02EB" w:rsidRPr="003B7D05">
        <w:rPr>
          <w:rFonts w:ascii="Times New Roman" w:eastAsia="Garamond" w:hAnsi="Times New Roman" w:cs="Times New Roman"/>
          <w:color w:val="EE0000"/>
          <w:sz w:val="24"/>
          <w:szCs w:val="24"/>
          <w14:ligatures w14:val="standard"/>
        </w:rPr>
        <w:t xml:space="preserve">. </w:t>
      </w:r>
    </w:p>
    <w:p w14:paraId="67D88C5A" w14:textId="4203550C" w:rsidR="00022F60" w:rsidRPr="00022F60" w:rsidRDefault="00022F60" w:rsidP="00022F60">
      <w:pPr>
        <w:spacing w:after="0" w:line="480" w:lineRule="auto"/>
        <w:ind w:right="-14"/>
        <w:rPr>
          <w:rFonts w:ascii="Times New Roman" w:eastAsia="Garamond" w:hAnsi="Times New Roman" w:cs="Times New Roman"/>
          <w:b/>
          <w:bCs/>
          <w:sz w:val="24"/>
          <w:szCs w:val="24"/>
          <w14:ligatures w14:val="standard"/>
        </w:rPr>
      </w:pPr>
      <w:r w:rsidRPr="00022F60">
        <w:rPr>
          <w:rFonts w:ascii="Times New Roman" w:eastAsia="Garamond" w:hAnsi="Times New Roman" w:cs="Times New Roman"/>
          <w:b/>
          <w:bCs/>
          <w:sz w:val="24"/>
          <w:szCs w:val="24"/>
          <w14:ligatures w14:val="standard"/>
        </w:rPr>
        <w:t>Background</w:t>
      </w:r>
    </w:p>
    <w:p w14:paraId="798D555F" w14:textId="72F931DF" w:rsidR="00022F60" w:rsidRPr="00A30A60" w:rsidRDefault="00022F60" w:rsidP="00022F60">
      <w:pPr>
        <w:spacing w:after="0" w:line="480" w:lineRule="auto"/>
        <w:ind w:left="-14" w:right="-14" w:firstLine="720"/>
        <w:rPr>
          <w:rFonts w:ascii="Times New Roman" w:eastAsia="Garamond" w:hAnsi="Times New Roman" w:cs="Times New Roman"/>
          <w:color w:val="EE0000"/>
          <w:sz w:val="24"/>
          <w:szCs w:val="24"/>
          <w14:ligatures w14:val="standard"/>
        </w:rPr>
      </w:pPr>
      <w:r w:rsidRPr="00A30A60">
        <w:rPr>
          <w:rFonts w:ascii="Times New Roman" w:eastAsia="Garamond" w:hAnsi="Times New Roman" w:cs="Times New Roman"/>
          <w:color w:val="EE0000"/>
          <w:sz w:val="24"/>
          <w:szCs w:val="24"/>
          <w14:ligatures w14:val="standard"/>
        </w:rPr>
        <w:t xml:space="preserve">In January 2019, the Railroad Commission (RRC) changed </w:t>
      </w:r>
      <w:r w:rsidR="00A30A60" w:rsidRPr="00A30A60">
        <w:rPr>
          <w:rFonts w:ascii="Times New Roman" w:eastAsia="Garamond" w:hAnsi="Times New Roman" w:cs="Times New Roman"/>
          <w:color w:val="EE0000"/>
          <w:sz w:val="24"/>
          <w:szCs w:val="24"/>
          <w14:ligatures w14:val="standard"/>
        </w:rPr>
        <w:t xml:space="preserve">it Online Inspection Lookup (OIL) tool to enable users to </w:t>
      </w:r>
      <w:r w:rsidRPr="00A30A60">
        <w:rPr>
          <w:rFonts w:ascii="Times New Roman" w:eastAsia="Garamond" w:hAnsi="Times New Roman" w:cs="Times New Roman"/>
          <w:color w:val="EE0000"/>
          <w:sz w:val="24"/>
          <w:szCs w:val="24"/>
          <w14:ligatures w14:val="standard"/>
        </w:rPr>
        <w:t xml:space="preserve">search </w:t>
      </w:r>
      <w:r w:rsidR="00A30A60" w:rsidRPr="00A30A60">
        <w:rPr>
          <w:rFonts w:ascii="Times New Roman" w:eastAsia="Garamond" w:hAnsi="Times New Roman" w:cs="Times New Roman"/>
          <w:color w:val="EE0000"/>
          <w:sz w:val="24"/>
          <w:szCs w:val="24"/>
          <w14:ligatures w14:val="standard"/>
        </w:rPr>
        <w:t>its</w:t>
      </w:r>
      <w:r w:rsidRPr="00A30A60">
        <w:rPr>
          <w:rFonts w:ascii="Times New Roman" w:eastAsia="Garamond" w:hAnsi="Times New Roman" w:cs="Times New Roman"/>
          <w:color w:val="EE0000"/>
          <w:sz w:val="24"/>
          <w:szCs w:val="24"/>
          <w14:ligatures w14:val="standard"/>
        </w:rPr>
        <w:t xml:space="preserve"> enforcement database for disaggregated and well-specific </w:t>
      </w:r>
      <w:r w:rsidR="00A30A60" w:rsidRPr="00A30A60">
        <w:rPr>
          <w:rFonts w:ascii="Times New Roman" w:eastAsia="Garamond" w:hAnsi="Times New Roman" w:cs="Times New Roman"/>
          <w:color w:val="EE0000"/>
          <w:sz w:val="24"/>
          <w:szCs w:val="24"/>
          <w14:ligatures w14:val="standard"/>
        </w:rPr>
        <w:t xml:space="preserve">data. The policy change meant that site-level (or well-specific) </w:t>
      </w:r>
      <w:r w:rsidRPr="00A30A60">
        <w:rPr>
          <w:rFonts w:ascii="Times New Roman" w:eastAsia="Garamond" w:hAnsi="Times New Roman" w:cs="Times New Roman"/>
          <w:color w:val="EE0000"/>
          <w:sz w:val="24"/>
          <w:szCs w:val="24"/>
          <w14:ligatures w14:val="standard"/>
        </w:rPr>
        <w:t xml:space="preserve">inspections, violations, and administrative responses </w:t>
      </w:r>
      <w:r w:rsidR="00A30A60" w:rsidRPr="00A30A60">
        <w:rPr>
          <w:rFonts w:ascii="Times New Roman" w:eastAsia="Garamond" w:hAnsi="Times New Roman" w:cs="Times New Roman"/>
          <w:color w:val="EE0000"/>
          <w:sz w:val="24"/>
          <w:szCs w:val="24"/>
          <w14:ligatures w14:val="standard"/>
        </w:rPr>
        <w:t>would now be disclosed.</w:t>
      </w:r>
      <w:r w:rsidRPr="00A30A60">
        <w:rPr>
          <w:rFonts w:ascii="Times New Roman" w:eastAsia="Garamond" w:hAnsi="Times New Roman" w:cs="Times New Roman"/>
          <w:color w:val="EE0000"/>
          <w:sz w:val="24"/>
          <w:szCs w:val="24"/>
          <w14:ligatures w14:val="standard"/>
        </w:rPr>
        <w:t xml:space="preserve"> </w:t>
      </w:r>
      <w:r w:rsidR="00A30A60" w:rsidRPr="00A30A60">
        <w:rPr>
          <w:rFonts w:ascii="Times New Roman" w:eastAsia="Garamond" w:hAnsi="Times New Roman" w:cs="Times New Roman"/>
          <w:color w:val="EE0000"/>
          <w:sz w:val="24"/>
          <w:szCs w:val="24"/>
          <w14:ligatures w14:val="standard"/>
        </w:rPr>
        <w:t>Moreover,</w:t>
      </w:r>
      <w:r w:rsidRPr="00A30A60">
        <w:rPr>
          <w:rFonts w:ascii="Times New Roman" w:eastAsia="Garamond" w:hAnsi="Times New Roman" w:cs="Times New Roman"/>
          <w:color w:val="EE0000"/>
          <w:sz w:val="24"/>
          <w:szCs w:val="24"/>
          <w14:ligatures w14:val="standard"/>
        </w:rPr>
        <w:t xml:space="preserve"> users </w:t>
      </w:r>
      <w:r w:rsidR="00A30A60" w:rsidRPr="00A30A60">
        <w:rPr>
          <w:rFonts w:ascii="Times New Roman" w:eastAsia="Garamond" w:hAnsi="Times New Roman" w:cs="Times New Roman"/>
          <w:color w:val="EE0000"/>
          <w:sz w:val="24"/>
          <w:szCs w:val="24"/>
          <w14:ligatures w14:val="standard"/>
        </w:rPr>
        <w:t>could</w:t>
      </w:r>
      <w:r w:rsidRPr="00A30A60">
        <w:rPr>
          <w:rFonts w:ascii="Times New Roman" w:eastAsia="Garamond" w:hAnsi="Times New Roman" w:cs="Times New Roman"/>
          <w:color w:val="EE0000"/>
          <w:sz w:val="24"/>
          <w:szCs w:val="24"/>
          <w14:ligatures w14:val="standard"/>
        </w:rPr>
        <w:t xml:space="preserve"> search </w:t>
      </w:r>
      <w:r w:rsidR="00A30A60" w:rsidRPr="00A30A60">
        <w:rPr>
          <w:rFonts w:ascii="Times New Roman" w:eastAsia="Garamond" w:hAnsi="Times New Roman" w:cs="Times New Roman"/>
          <w:color w:val="EE0000"/>
          <w:sz w:val="24"/>
          <w:szCs w:val="24"/>
          <w14:ligatures w14:val="standard"/>
        </w:rPr>
        <w:t>by a multitude of other criterion including</w:t>
      </w:r>
      <w:r w:rsidRPr="00A30A60">
        <w:rPr>
          <w:rFonts w:ascii="Times New Roman" w:eastAsia="Garamond" w:hAnsi="Times New Roman" w:cs="Times New Roman"/>
          <w:color w:val="EE0000"/>
          <w:sz w:val="24"/>
          <w:szCs w:val="24"/>
          <w14:ligatures w14:val="standard"/>
        </w:rPr>
        <w:t xml:space="preserve"> operator name, lease, the API number</w:t>
      </w:r>
      <w:r w:rsidR="00A30A60" w:rsidRPr="00A30A60">
        <w:rPr>
          <w:rFonts w:ascii="Times New Roman" w:eastAsia="Garamond" w:hAnsi="Times New Roman" w:cs="Times New Roman"/>
          <w:color w:val="EE0000"/>
          <w:sz w:val="24"/>
          <w:szCs w:val="24"/>
          <w14:ligatures w14:val="standard"/>
        </w:rPr>
        <w:t xml:space="preserve">, longitude/latitude, </w:t>
      </w:r>
      <w:r w:rsidRPr="00A30A60">
        <w:rPr>
          <w:rFonts w:ascii="Times New Roman" w:eastAsia="Garamond" w:hAnsi="Times New Roman" w:cs="Times New Roman"/>
          <w:color w:val="EE0000"/>
          <w:sz w:val="24"/>
          <w:szCs w:val="24"/>
          <w14:ligatures w14:val="standard"/>
        </w:rPr>
        <w:t xml:space="preserve">county, specific rule or operating standard, applicable RRC district, and </w:t>
      </w:r>
      <w:r w:rsidR="00A30A60" w:rsidRPr="00A30A60">
        <w:rPr>
          <w:rFonts w:ascii="Times New Roman" w:eastAsia="Garamond" w:hAnsi="Times New Roman" w:cs="Times New Roman"/>
          <w:color w:val="EE0000"/>
          <w:sz w:val="24"/>
          <w:szCs w:val="24"/>
          <w14:ligatures w14:val="standard"/>
        </w:rPr>
        <w:t>periods of time</w:t>
      </w:r>
      <w:r w:rsidRPr="00A30A60">
        <w:rPr>
          <w:rFonts w:ascii="Times New Roman" w:eastAsia="Garamond" w:hAnsi="Times New Roman" w:cs="Times New Roman"/>
          <w:color w:val="EE0000"/>
          <w:sz w:val="24"/>
          <w:szCs w:val="24"/>
          <w14:ligatures w14:val="standard"/>
        </w:rPr>
        <w:t xml:space="preserve">. Commissioner Wayne Christian described the tool’s purpose as: “this tool will be helpful to our agency, the industry, and, most importantly, the public in ensuring individuals have easy, transparent access to data regarding the regulation of our natural resources. I applaud our hardworking staff and the commitment of funding from the Texas Legislature in making this long-desired tool a reality” </w:t>
      </w:r>
      <w:r w:rsidRPr="00A30A60">
        <w:rPr>
          <w:rFonts w:ascii="Times New Roman" w:hAnsi="Times New Roman" w:cs="Times New Roman"/>
          <w:color w:val="EE0000"/>
          <w:sz w:val="24"/>
          <w:szCs w:val="24"/>
        </w:rPr>
        <w:t>(RRC 2019)</w:t>
      </w:r>
      <w:r w:rsidRPr="00A30A60">
        <w:rPr>
          <w:rFonts w:ascii="Times New Roman" w:eastAsia="Garamond" w:hAnsi="Times New Roman" w:cs="Times New Roman"/>
          <w:color w:val="EE0000"/>
          <w:sz w:val="24"/>
          <w:szCs w:val="24"/>
          <w14:ligatures w14:val="standard"/>
        </w:rPr>
        <w:t xml:space="preserve">. </w:t>
      </w:r>
    </w:p>
    <w:p w14:paraId="2346AD8C" w14:textId="005466FE" w:rsidR="00500C0B" w:rsidRPr="00CC4E81" w:rsidRDefault="00ED02EB">
      <w:pPr>
        <w:spacing w:after="0" w:line="480" w:lineRule="auto"/>
        <w:rPr>
          <w:rFonts w:ascii="Times New Roman" w:eastAsia="Garamond" w:hAnsi="Times New Roman" w:cs="Times New Roman"/>
          <w:sz w:val="24"/>
          <w:szCs w:val="24"/>
          <w14:ligatures w14:val="standard"/>
        </w:rPr>
      </w:pPr>
      <w:r w:rsidRPr="00CC4E81">
        <w:rPr>
          <w:rFonts w:ascii="Times New Roman" w:eastAsia="Garamond" w:hAnsi="Times New Roman" w:cs="Times New Roman"/>
          <w:b/>
          <w:bCs/>
          <w:sz w:val="24"/>
          <w:szCs w:val="24"/>
          <w14:ligatures w14:val="standard"/>
        </w:rPr>
        <w:lastRenderedPageBreak/>
        <w:t xml:space="preserve">Disclosure Theory and Performance </w:t>
      </w:r>
    </w:p>
    <w:p w14:paraId="6DB08E40" w14:textId="0E3A2636" w:rsidR="00500C0B" w:rsidRPr="00C270D1" w:rsidRDefault="000B06F5" w:rsidP="00C270D1">
      <w:pPr>
        <w:spacing w:after="0" w:line="480" w:lineRule="auto"/>
        <w:ind w:firstLine="720"/>
        <w:rPr>
          <w:rFonts w:ascii="Times New Roman" w:hAnsi="Times New Roman" w:cs="Times New Roman"/>
          <w:color w:val="EE0000"/>
          <w:sz w:val="24"/>
          <w:szCs w:val="24"/>
        </w:rPr>
      </w:pPr>
      <w:r w:rsidRPr="005D5553">
        <w:rPr>
          <w:rFonts w:ascii="Times New Roman" w:hAnsi="Times New Roman" w:cs="Times New Roman"/>
          <w:color w:val="EE0000"/>
          <w:sz w:val="24"/>
          <w:szCs w:val="24"/>
        </w:rPr>
        <w:t>Information disclosure</w:t>
      </w:r>
      <w:r w:rsidR="005D5553" w:rsidRPr="005D5553">
        <w:rPr>
          <w:rFonts w:ascii="Times New Roman" w:hAnsi="Times New Roman" w:cs="Times New Roman"/>
          <w:color w:val="EE0000"/>
          <w:sz w:val="24"/>
          <w:szCs w:val="24"/>
        </w:rPr>
        <w:t xml:space="preserve"> serves as an alternative to traditional command and control regulation (</w:t>
      </w:r>
      <w:r w:rsidR="006A4442" w:rsidRPr="00022F60">
        <w:rPr>
          <w:rFonts w:ascii="Times New Roman" w:hAnsi="Times New Roman" w:cs="Times New Roman"/>
          <w:color w:val="EE0000"/>
          <w:sz w:val="24"/>
          <w:szCs w:val="24"/>
        </w:rPr>
        <w:t xml:space="preserve">Abel, Stephen, and Kraft 2007; </w:t>
      </w:r>
      <w:r w:rsidR="00C270D1" w:rsidRPr="005D5553">
        <w:rPr>
          <w:rFonts w:ascii="Times New Roman" w:hAnsi="Times New Roman" w:cs="Times New Roman"/>
          <w:color w:val="EE0000"/>
          <w:sz w:val="24"/>
          <w:szCs w:val="24"/>
        </w:rPr>
        <w:t>Crow, Albright, and Koebele 2020</w:t>
      </w:r>
      <w:r w:rsidR="00C270D1">
        <w:rPr>
          <w:rFonts w:ascii="Times New Roman" w:hAnsi="Times New Roman" w:cs="Times New Roman"/>
          <w:color w:val="EE0000"/>
          <w:sz w:val="24"/>
          <w:szCs w:val="24"/>
        </w:rPr>
        <w:t xml:space="preserve">; </w:t>
      </w:r>
      <w:r w:rsidR="005D5553" w:rsidRPr="005D5553">
        <w:rPr>
          <w:rFonts w:ascii="Times New Roman" w:hAnsi="Times New Roman" w:cs="Times New Roman"/>
          <w:color w:val="EE0000"/>
          <w:sz w:val="24"/>
          <w:szCs w:val="24"/>
        </w:rPr>
        <w:t>Fiorino 2006</w:t>
      </w:r>
      <w:r w:rsidR="00C270D1">
        <w:rPr>
          <w:rFonts w:ascii="Times New Roman" w:hAnsi="Times New Roman" w:cs="Times New Roman"/>
          <w:color w:val="EE0000"/>
          <w:sz w:val="24"/>
          <w:szCs w:val="24"/>
        </w:rPr>
        <w:t xml:space="preserve">; </w:t>
      </w:r>
      <w:proofErr w:type="spellStart"/>
      <w:r w:rsidR="00C270D1" w:rsidRPr="005D5553">
        <w:rPr>
          <w:rFonts w:ascii="Times New Roman" w:hAnsi="Times New Roman" w:cs="Times New Roman"/>
          <w:color w:val="EE0000"/>
          <w:sz w:val="24"/>
          <w:szCs w:val="24"/>
        </w:rPr>
        <w:t>Klyza</w:t>
      </w:r>
      <w:proofErr w:type="spellEnd"/>
      <w:r w:rsidR="00C270D1" w:rsidRPr="005D5553">
        <w:rPr>
          <w:rFonts w:ascii="Times New Roman" w:hAnsi="Times New Roman" w:cs="Times New Roman"/>
          <w:color w:val="EE0000"/>
          <w:sz w:val="24"/>
          <w:szCs w:val="24"/>
        </w:rPr>
        <w:t xml:space="preserve"> and Sousa 2013</w:t>
      </w:r>
      <w:r w:rsidR="00C270D1">
        <w:rPr>
          <w:rFonts w:ascii="Times New Roman" w:hAnsi="Times New Roman" w:cs="Times New Roman"/>
          <w:color w:val="EE0000"/>
          <w:sz w:val="24"/>
          <w:szCs w:val="24"/>
        </w:rPr>
        <w:t xml:space="preserve">; </w:t>
      </w:r>
      <w:r w:rsidR="005D5553" w:rsidRPr="005D5553">
        <w:rPr>
          <w:rFonts w:ascii="Times New Roman" w:hAnsi="Times New Roman" w:cs="Times New Roman"/>
          <w:color w:val="EE0000"/>
          <w:sz w:val="24"/>
          <w:szCs w:val="24"/>
        </w:rPr>
        <w:t>Li 2023;</w:t>
      </w:r>
      <w:r w:rsidR="00C270D1">
        <w:rPr>
          <w:rFonts w:ascii="Times New Roman" w:hAnsi="Times New Roman" w:cs="Times New Roman"/>
          <w:color w:val="EE0000"/>
          <w:sz w:val="24"/>
          <w:szCs w:val="24"/>
        </w:rPr>
        <w:t xml:space="preserve"> </w:t>
      </w:r>
      <w:r w:rsidR="005D5553" w:rsidRPr="005D5553">
        <w:rPr>
          <w:rFonts w:ascii="Times New Roman" w:hAnsi="Times New Roman" w:cs="Times New Roman"/>
          <w:color w:val="EE0000"/>
          <w:sz w:val="24"/>
          <w:szCs w:val="24"/>
        </w:rPr>
        <w:t>Young 2020</w:t>
      </w:r>
      <w:proofErr w:type="gramStart"/>
      <w:r w:rsidR="006A4442">
        <w:rPr>
          <w:rFonts w:ascii="Times New Roman" w:hAnsi="Times New Roman" w:cs="Times New Roman"/>
          <w:color w:val="EE0000"/>
          <w:sz w:val="24"/>
          <w:szCs w:val="24"/>
        </w:rPr>
        <w:t xml:space="preserve">; </w:t>
      </w:r>
      <w:r w:rsidR="005D5553" w:rsidRPr="005D5553">
        <w:rPr>
          <w:rFonts w:ascii="Times New Roman" w:hAnsi="Times New Roman" w:cs="Times New Roman"/>
          <w:color w:val="EE0000"/>
          <w:sz w:val="24"/>
          <w:szCs w:val="24"/>
        </w:rPr>
        <w:t>)</w:t>
      </w:r>
      <w:proofErr w:type="gramEnd"/>
      <w:r w:rsidR="005D5553" w:rsidRPr="005D5553">
        <w:rPr>
          <w:rFonts w:ascii="Times New Roman" w:hAnsi="Times New Roman" w:cs="Times New Roman"/>
          <w:color w:val="EE0000"/>
          <w:sz w:val="24"/>
          <w:szCs w:val="24"/>
        </w:rPr>
        <w:t>. Rather than creating adversarial relationships, disclosure works by targeting the information asymmetries between two parties by facilitating</w:t>
      </w:r>
      <w:r w:rsidR="005D5553">
        <w:rPr>
          <w:rFonts w:ascii="Times New Roman" w:hAnsi="Times New Roman" w:cs="Times New Roman"/>
          <w:color w:val="EE0000"/>
          <w:sz w:val="24"/>
          <w:szCs w:val="24"/>
        </w:rPr>
        <w:t>, disclosing,</w:t>
      </w:r>
      <w:r w:rsidR="005D5553" w:rsidRPr="005D5553">
        <w:rPr>
          <w:rFonts w:ascii="Times New Roman" w:hAnsi="Times New Roman" w:cs="Times New Roman"/>
          <w:color w:val="EE0000"/>
          <w:sz w:val="24"/>
          <w:szCs w:val="24"/>
        </w:rPr>
        <w:t xml:space="preserve"> and/or </w:t>
      </w:r>
      <w:r w:rsidR="005D5553">
        <w:rPr>
          <w:rFonts w:ascii="Times New Roman" w:hAnsi="Times New Roman" w:cs="Times New Roman"/>
          <w:color w:val="EE0000"/>
          <w:sz w:val="24"/>
          <w:szCs w:val="24"/>
        </w:rPr>
        <w:t>permitting</w:t>
      </w:r>
      <w:r w:rsidR="005D5553" w:rsidRPr="005D5553">
        <w:rPr>
          <w:rFonts w:ascii="Times New Roman" w:hAnsi="Times New Roman" w:cs="Times New Roman"/>
          <w:color w:val="EE0000"/>
          <w:sz w:val="24"/>
          <w:szCs w:val="24"/>
        </w:rPr>
        <w:t xml:space="preserve"> access to information that was previously </w:t>
      </w:r>
      <w:r w:rsidR="005D5553">
        <w:rPr>
          <w:rFonts w:ascii="Times New Roman" w:hAnsi="Times New Roman" w:cs="Times New Roman"/>
          <w:color w:val="EE0000"/>
          <w:sz w:val="24"/>
          <w:szCs w:val="24"/>
        </w:rPr>
        <w:t>unavailable</w:t>
      </w:r>
      <w:r w:rsidR="005D5553" w:rsidRPr="005D5553">
        <w:rPr>
          <w:rFonts w:ascii="Times New Roman" w:hAnsi="Times New Roman" w:cs="Times New Roman"/>
          <w:color w:val="EE0000"/>
          <w:sz w:val="24"/>
          <w:szCs w:val="24"/>
        </w:rPr>
        <w:t xml:space="preserve">. With </w:t>
      </w:r>
      <w:r w:rsidR="005D5553">
        <w:rPr>
          <w:rFonts w:ascii="Times New Roman" w:hAnsi="Times New Roman" w:cs="Times New Roman"/>
          <w:color w:val="EE0000"/>
          <w:sz w:val="24"/>
          <w:szCs w:val="24"/>
        </w:rPr>
        <w:t xml:space="preserve">their </w:t>
      </w:r>
      <w:r w:rsidR="005D5553" w:rsidRPr="005D5553">
        <w:rPr>
          <w:rFonts w:ascii="Times New Roman" w:hAnsi="Times New Roman" w:cs="Times New Roman"/>
          <w:color w:val="EE0000"/>
          <w:sz w:val="24"/>
          <w:szCs w:val="24"/>
        </w:rPr>
        <w:t>newly acquired information, researchers have identified several stakeholder strategies such as shaming the specific industry, attempting to sway public opinion or sentiment, and pushing administrative agencies in a desired direction (</w:t>
      </w:r>
      <w:r w:rsidR="00C270D1" w:rsidRPr="005D5553">
        <w:rPr>
          <w:rFonts w:ascii="Times New Roman" w:hAnsi="Times New Roman" w:cs="Times New Roman"/>
          <w:color w:val="EE0000"/>
          <w:sz w:val="24"/>
          <w:szCs w:val="24"/>
        </w:rPr>
        <w:t>; Hamilton 2005</w:t>
      </w:r>
      <w:r w:rsidR="00C270D1">
        <w:rPr>
          <w:rFonts w:ascii="Times New Roman" w:hAnsi="Times New Roman" w:cs="Times New Roman"/>
          <w:color w:val="EE0000"/>
          <w:sz w:val="24"/>
          <w:szCs w:val="24"/>
        </w:rPr>
        <w:t xml:space="preserve">; </w:t>
      </w:r>
      <w:r w:rsidR="005D5553" w:rsidRPr="005D5553">
        <w:rPr>
          <w:rFonts w:ascii="Times New Roman" w:hAnsi="Times New Roman" w:cs="Times New Roman"/>
          <w:color w:val="EE0000"/>
          <w:sz w:val="24"/>
          <w:szCs w:val="24"/>
        </w:rPr>
        <w:t xml:space="preserve">Niles &amp; Lubell 2012). In other instances, </w:t>
      </w:r>
      <w:r w:rsidR="005D5553">
        <w:rPr>
          <w:rFonts w:ascii="Times New Roman" w:hAnsi="Times New Roman" w:cs="Times New Roman"/>
          <w:color w:val="EE0000"/>
          <w:sz w:val="24"/>
          <w:szCs w:val="24"/>
        </w:rPr>
        <w:t xml:space="preserve">the targeted </w:t>
      </w:r>
      <w:r w:rsidR="005D5553" w:rsidRPr="005D5553">
        <w:rPr>
          <w:rFonts w:ascii="Times New Roman" w:hAnsi="Times New Roman" w:cs="Times New Roman"/>
          <w:color w:val="EE0000"/>
          <w:sz w:val="24"/>
          <w:szCs w:val="24"/>
        </w:rPr>
        <w:t>industry may seek to blunt the impact of the information by voluntarily improving performance. Importantly, the disclosed information must possess strategic value (Cherone 2023; see also Moody 2023; Newsome 2021).</w:t>
      </w:r>
      <w:r w:rsidR="005D5553">
        <w:rPr>
          <w:rFonts w:ascii="Times New Roman" w:hAnsi="Times New Roman" w:cs="Times New Roman"/>
          <w:color w:val="EE0000"/>
          <w:sz w:val="24"/>
          <w:szCs w:val="24"/>
        </w:rPr>
        <w:t xml:space="preserve"> In short, the core of disclosure is two-fold: information access is asymmetric and that it is valuable to stakeholders</w:t>
      </w:r>
      <w:r w:rsidR="00C270D1">
        <w:rPr>
          <w:rFonts w:ascii="Times New Roman" w:hAnsi="Times New Roman" w:cs="Times New Roman"/>
          <w:color w:val="EE0000"/>
          <w:sz w:val="24"/>
          <w:szCs w:val="24"/>
        </w:rPr>
        <w:t xml:space="preserve"> </w:t>
      </w:r>
      <w:r w:rsidRPr="00C270D1">
        <w:rPr>
          <w:rFonts w:ascii="Times New Roman" w:hAnsi="Times New Roman" w:cs="Times New Roman"/>
          <w:color w:val="EE0000"/>
          <w:sz w:val="24"/>
          <w:szCs w:val="24"/>
        </w:rPr>
        <w:t>(Cherone 2023;</w:t>
      </w:r>
      <w:r w:rsidR="00C270D1" w:rsidRPr="00C270D1">
        <w:rPr>
          <w:rFonts w:ascii="Times New Roman" w:hAnsi="Times New Roman" w:cs="Times New Roman"/>
          <w:color w:val="EE0000"/>
          <w:sz w:val="24"/>
          <w:szCs w:val="24"/>
        </w:rPr>
        <w:t xml:space="preserve"> </w:t>
      </w:r>
      <w:r w:rsidRPr="00C270D1">
        <w:rPr>
          <w:rFonts w:ascii="Times New Roman" w:hAnsi="Times New Roman" w:cs="Times New Roman"/>
          <w:color w:val="EE0000"/>
          <w:sz w:val="24"/>
          <w:szCs w:val="24"/>
        </w:rPr>
        <w:t>Moody 2023; Newsome 2021)</w:t>
      </w:r>
      <w:r w:rsidRPr="00C270D1">
        <w:rPr>
          <w:rFonts w:ascii="Times New Roman" w:eastAsia="Garamond" w:hAnsi="Times New Roman" w:cs="Times New Roman"/>
          <w:color w:val="EE0000"/>
          <w:sz w:val="24"/>
          <w:szCs w:val="24"/>
          <w14:ligatures w14:val="standard"/>
        </w:rPr>
        <w:t xml:space="preserve">. </w:t>
      </w:r>
    </w:p>
    <w:p w14:paraId="3304E0BA" w14:textId="12DFE7E0" w:rsidR="006A4442" w:rsidRPr="00CC4E81" w:rsidRDefault="00C270D1" w:rsidP="006A4442">
      <w:pPr>
        <w:spacing w:after="0" w:line="480" w:lineRule="auto"/>
        <w:ind w:firstLine="720"/>
        <w:rPr>
          <w:rFonts w:ascii="Times New Roman" w:eastAsia="Garamond" w:hAnsi="Times New Roman" w:cs="Times New Roman"/>
          <w:sz w:val="24"/>
          <w:szCs w:val="24"/>
          <w14:ligatures w14:val="standard"/>
        </w:rPr>
      </w:pPr>
      <w:r w:rsidRPr="00C270D1">
        <w:rPr>
          <w:rFonts w:ascii="Times New Roman" w:eastAsia="Garamond" w:hAnsi="Times New Roman" w:cs="Times New Roman"/>
          <w:color w:val="EE0000"/>
          <w:sz w:val="24"/>
          <w:szCs w:val="24"/>
          <w14:ligatures w14:val="standard"/>
        </w:rPr>
        <w:t>Empirical research</w:t>
      </w:r>
      <w:r w:rsidR="00ED02EB" w:rsidRPr="00C270D1">
        <w:rPr>
          <w:rFonts w:ascii="Times New Roman" w:eastAsia="Garamond" w:hAnsi="Times New Roman" w:cs="Times New Roman"/>
          <w:color w:val="EE0000"/>
          <w:sz w:val="24"/>
          <w:szCs w:val="24"/>
          <w14:ligatures w14:val="standard"/>
        </w:rPr>
        <w:t xml:space="preserve">, however, </w:t>
      </w:r>
      <w:r w:rsidRPr="00C270D1">
        <w:rPr>
          <w:rFonts w:ascii="Times New Roman" w:eastAsia="Garamond" w:hAnsi="Times New Roman" w:cs="Times New Roman"/>
          <w:color w:val="EE0000"/>
          <w:sz w:val="24"/>
          <w:szCs w:val="24"/>
          <w14:ligatures w14:val="standard"/>
        </w:rPr>
        <w:t xml:space="preserve">has noted that the performance assumptions of </w:t>
      </w:r>
      <w:r>
        <w:rPr>
          <w:rFonts w:ascii="Times New Roman" w:eastAsia="Garamond" w:hAnsi="Times New Roman" w:cs="Times New Roman"/>
          <w:color w:val="EE0000"/>
          <w:sz w:val="24"/>
          <w:szCs w:val="24"/>
          <w14:ligatures w14:val="standard"/>
        </w:rPr>
        <w:t xml:space="preserve">information </w:t>
      </w:r>
      <w:r w:rsidRPr="00C270D1">
        <w:rPr>
          <w:rFonts w:ascii="Times New Roman" w:eastAsia="Garamond" w:hAnsi="Times New Roman" w:cs="Times New Roman"/>
          <w:color w:val="EE0000"/>
          <w:sz w:val="24"/>
          <w:szCs w:val="24"/>
          <w14:ligatures w14:val="standard"/>
        </w:rPr>
        <w:t>disclosure</w:t>
      </w:r>
      <w:r>
        <w:rPr>
          <w:rFonts w:ascii="Times New Roman" w:eastAsia="Garamond" w:hAnsi="Times New Roman" w:cs="Times New Roman"/>
          <w:color w:val="EE0000"/>
          <w:sz w:val="24"/>
          <w:szCs w:val="24"/>
          <w14:ligatures w14:val="standard"/>
        </w:rPr>
        <w:t xml:space="preserve"> programs</w:t>
      </w:r>
      <w:r w:rsidRPr="00C270D1">
        <w:rPr>
          <w:rFonts w:ascii="Times New Roman" w:eastAsia="Garamond" w:hAnsi="Times New Roman" w:cs="Times New Roman"/>
          <w:color w:val="EE0000"/>
          <w:sz w:val="24"/>
          <w:szCs w:val="24"/>
          <w14:ligatures w14:val="standard"/>
        </w:rPr>
        <w:t xml:space="preserve"> are not always met</w:t>
      </w:r>
      <w:r>
        <w:rPr>
          <w:rFonts w:ascii="Times New Roman" w:eastAsia="Garamond" w:hAnsi="Times New Roman" w:cs="Times New Roman"/>
          <w:color w:val="EE0000"/>
          <w:sz w:val="24"/>
          <w:szCs w:val="24"/>
          <w14:ligatures w14:val="standard"/>
        </w:rPr>
        <w:t xml:space="preserve"> </w:t>
      </w:r>
      <w:r w:rsidR="00A559DB">
        <w:rPr>
          <w:rFonts w:ascii="Times New Roman" w:eastAsia="Garamond" w:hAnsi="Times New Roman" w:cs="Times New Roman"/>
          <w:color w:val="EE0000"/>
          <w:sz w:val="24"/>
          <w:szCs w:val="24"/>
          <w14:ligatures w14:val="standard"/>
        </w:rPr>
        <w:t xml:space="preserve">with </w:t>
      </w:r>
      <w:r>
        <w:rPr>
          <w:rFonts w:ascii="Times New Roman" w:eastAsia="Garamond" w:hAnsi="Times New Roman" w:cs="Times New Roman"/>
          <w:color w:val="EE0000"/>
          <w:sz w:val="24"/>
          <w:szCs w:val="24"/>
          <w14:ligatures w14:val="standard"/>
        </w:rPr>
        <w:t>many</w:t>
      </w:r>
      <w:r w:rsidR="00A559DB">
        <w:rPr>
          <w:rFonts w:ascii="Times New Roman" w:eastAsia="Garamond" w:hAnsi="Times New Roman" w:cs="Times New Roman"/>
          <w:color w:val="EE0000"/>
          <w:sz w:val="24"/>
          <w:szCs w:val="24"/>
          <w14:ligatures w14:val="standard"/>
        </w:rPr>
        <w:t xml:space="preserve"> </w:t>
      </w:r>
      <w:r w:rsidR="00ED02EB" w:rsidRPr="00C270D1">
        <w:rPr>
          <w:rFonts w:ascii="Times New Roman" w:eastAsia="Garamond" w:hAnsi="Times New Roman" w:cs="Times New Roman"/>
          <w:color w:val="EE0000"/>
          <w:sz w:val="24"/>
          <w:szCs w:val="24"/>
          <w14:ligatures w14:val="standard"/>
        </w:rPr>
        <w:t xml:space="preserve">disclosure programs </w:t>
      </w:r>
      <w:r w:rsidR="00A559DB">
        <w:rPr>
          <w:rFonts w:ascii="Times New Roman" w:eastAsia="Garamond" w:hAnsi="Times New Roman" w:cs="Times New Roman"/>
          <w:color w:val="EE0000"/>
          <w:sz w:val="24"/>
          <w:szCs w:val="24"/>
          <w14:ligatures w14:val="standard"/>
        </w:rPr>
        <w:t>reporting</w:t>
      </w:r>
      <w:r w:rsidR="00ED02EB" w:rsidRPr="00C270D1">
        <w:rPr>
          <w:rFonts w:ascii="Times New Roman" w:eastAsia="Garamond" w:hAnsi="Times New Roman" w:cs="Times New Roman"/>
          <w:color w:val="EE0000"/>
          <w:sz w:val="24"/>
          <w:szCs w:val="24"/>
          <w14:ligatures w14:val="standard"/>
        </w:rPr>
        <w:t xml:space="preserve"> mixed results</w:t>
      </w:r>
      <w:r w:rsidRPr="00C270D1">
        <w:rPr>
          <w:rFonts w:ascii="Times New Roman" w:eastAsia="Garamond" w:hAnsi="Times New Roman" w:cs="Times New Roman"/>
          <w:color w:val="EE0000"/>
          <w:sz w:val="24"/>
          <w:szCs w:val="24"/>
          <w14:ligatures w14:val="standard"/>
        </w:rPr>
        <w:t xml:space="preserve"> vis-a-vie environmental policy outcomes</w:t>
      </w:r>
      <w:r w:rsidR="005675A6" w:rsidRPr="00C270D1">
        <w:rPr>
          <w:rFonts w:ascii="Times New Roman" w:eastAsia="Garamond" w:hAnsi="Times New Roman" w:cs="Times New Roman"/>
          <w:color w:val="EE0000"/>
          <w:sz w:val="24"/>
          <w:szCs w:val="24"/>
          <w14:ligatures w14:val="standard"/>
        </w:rPr>
        <w:t xml:space="preserve"> </w:t>
      </w:r>
      <w:r w:rsidR="00ED02EB" w:rsidRPr="00C270D1">
        <w:rPr>
          <w:rFonts w:ascii="Times New Roman" w:hAnsi="Times New Roman" w:cs="Times New Roman"/>
          <w:color w:val="EE0000"/>
          <w:sz w:val="24"/>
          <w:szCs w:val="24"/>
        </w:rPr>
        <w:t>(Mason 2020; Lim and Prakash 2014</w:t>
      </w:r>
      <w:r w:rsidR="00ED02EB" w:rsidRPr="00A559DB">
        <w:rPr>
          <w:rFonts w:ascii="Times New Roman" w:hAnsi="Times New Roman" w:cs="Times New Roman"/>
          <w:color w:val="EE0000"/>
          <w:sz w:val="24"/>
          <w:szCs w:val="24"/>
        </w:rPr>
        <w:t>)</w:t>
      </w:r>
      <w:r w:rsidR="00ED02EB" w:rsidRPr="00A559DB">
        <w:rPr>
          <w:rFonts w:ascii="Times New Roman" w:eastAsia="Garamond" w:hAnsi="Times New Roman" w:cs="Times New Roman"/>
          <w:color w:val="EE0000"/>
          <w:sz w:val="24"/>
          <w:szCs w:val="24"/>
          <w14:ligatures w14:val="standard"/>
        </w:rPr>
        <w:t xml:space="preserve">. </w:t>
      </w:r>
      <w:r w:rsidR="00A559DB" w:rsidRPr="00A559DB">
        <w:rPr>
          <w:rFonts w:ascii="Times New Roman" w:eastAsia="Garamond" w:hAnsi="Times New Roman" w:cs="Times New Roman"/>
          <w:color w:val="EE0000"/>
          <w:sz w:val="24"/>
          <w:szCs w:val="24"/>
          <w14:ligatures w14:val="standard"/>
        </w:rPr>
        <w:t xml:space="preserve">Scholarship unpacking </w:t>
      </w:r>
      <w:r w:rsidR="00ED02EB" w:rsidRPr="00A559DB">
        <w:rPr>
          <w:rFonts w:ascii="Times New Roman" w:eastAsia="Garamond" w:hAnsi="Times New Roman" w:cs="Times New Roman"/>
          <w:color w:val="EE0000"/>
          <w:sz w:val="24"/>
          <w:szCs w:val="24"/>
          <w14:ligatures w14:val="standard"/>
        </w:rPr>
        <w:t xml:space="preserve">Environmental Protection Agency’s (or EPA) Toxic Release Inventory (or TRI) </w:t>
      </w:r>
      <w:r w:rsidR="00ED02EB" w:rsidRPr="00A559DB">
        <w:rPr>
          <w:rFonts w:ascii="Times New Roman" w:hAnsi="Times New Roman" w:cs="Times New Roman"/>
          <w:color w:val="EE0000"/>
          <w:sz w:val="24"/>
          <w:szCs w:val="24"/>
        </w:rPr>
        <w:t>(</w:t>
      </w:r>
      <w:proofErr w:type="spellStart"/>
      <w:r w:rsidR="00ED02EB" w:rsidRPr="00A559DB">
        <w:rPr>
          <w:rFonts w:ascii="Times New Roman" w:hAnsi="Times New Roman" w:cs="Times New Roman"/>
          <w:color w:val="EE0000"/>
          <w:sz w:val="24"/>
          <w:szCs w:val="24"/>
        </w:rPr>
        <w:t>Tietenberg</w:t>
      </w:r>
      <w:proofErr w:type="spellEnd"/>
      <w:r w:rsidR="00ED02EB" w:rsidRPr="00A559DB">
        <w:rPr>
          <w:rFonts w:ascii="Times New Roman" w:hAnsi="Times New Roman" w:cs="Times New Roman"/>
          <w:color w:val="EE0000"/>
          <w:sz w:val="24"/>
          <w:szCs w:val="24"/>
        </w:rPr>
        <w:t xml:space="preserve"> 1998; Abel, Stephan, and Kraft 2007)</w:t>
      </w:r>
      <w:r w:rsidR="00A559DB" w:rsidRPr="00A559DB">
        <w:rPr>
          <w:rFonts w:ascii="Times New Roman" w:hAnsi="Times New Roman" w:cs="Times New Roman"/>
          <w:color w:val="EE0000"/>
          <w:sz w:val="24"/>
          <w:szCs w:val="24"/>
        </w:rPr>
        <w:t xml:space="preserve"> is emblematic of this dynamic</w:t>
      </w:r>
      <w:r w:rsidR="00ED02EB" w:rsidRPr="00A559DB">
        <w:rPr>
          <w:rFonts w:ascii="Times New Roman" w:eastAsia="Garamond" w:hAnsi="Times New Roman" w:cs="Times New Roman"/>
          <w:color w:val="EE0000"/>
          <w:sz w:val="24"/>
          <w:szCs w:val="24"/>
          <w14:ligatures w14:val="standard"/>
        </w:rPr>
        <w:t>.</w:t>
      </w:r>
      <w:r w:rsidR="00A559DB">
        <w:rPr>
          <w:rFonts w:ascii="Times New Roman" w:eastAsia="Garamond" w:hAnsi="Times New Roman" w:cs="Times New Roman"/>
          <w:color w:val="EE0000"/>
          <w:sz w:val="24"/>
          <w:szCs w:val="24"/>
          <w14:ligatures w14:val="standard"/>
        </w:rPr>
        <w:t xml:space="preserve"> Here, the </w:t>
      </w:r>
      <w:r w:rsidR="00A559DB" w:rsidRPr="006A4442">
        <w:rPr>
          <w:rFonts w:ascii="Times New Roman" w:eastAsia="Garamond" w:hAnsi="Times New Roman" w:cs="Times New Roman"/>
          <w:color w:val="EE0000"/>
          <w:sz w:val="24"/>
          <w:szCs w:val="24"/>
          <w14:ligatures w14:val="standard"/>
        </w:rPr>
        <w:t xml:space="preserve">program has reported </w:t>
      </w:r>
      <w:r w:rsidR="00ED02EB" w:rsidRPr="006A4442">
        <w:rPr>
          <w:rFonts w:ascii="Times New Roman" w:eastAsia="Garamond" w:hAnsi="Times New Roman" w:cs="Times New Roman"/>
          <w:color w:val="EE0000"/>
          <w:sz w:val="24"/>
          <w:szCs w:val="24"/>
          <w14:ligatures w14:val="standard"/>
        </w:rPr>
        <w:t xml:space="preserve">a </w:t>
      </w:r>
      <w:r w:rsidR="00ED02EB" w:rsidRPr="006A4442">
        <w:rPr>
          <w:rFonts w:ascii="Times New Roman" w:eastAsia="Garamond" w:hAnsi="Times New Roman" w:cs="Times New Roman"/>
          <w:color w:val="EE0000"/>
          <w:sz w:val="24"/>
          <w:szCs w:val="24"/>
        </w:rPr>
        <w:t>reported a 21% decrease in TRI chemical</w:t>
      </w:r>
      <w:r w:rsidR="00A559DB" w:rsidRPr="006A4442">
        <w:rPr>
          <w:rFonts w:ascii="Times New Roman" w:eastAsia="Garamond" w:hAnsi="Times New Roman" w:cs="Times New Roman"/>
          <w:color w:val="EE0000"/>
          <w:sz w:val="24"/>
          <w:szCs w:val="24"/>
        </w:rPr>
        <w:t xml:space="preserve"> discharges</w:t>
      </w:r>
      <w:r w:rsidR="00ED02EB" w:rsidRPr="006A4442">
        <w:rPr>
          <w:rFonts w:ascii="Times New Roman" w:eastAsia="Garamond" w:hAnsi="Times New Roman" w:cs="Times New Roman"/>
          <w:color w:val="EE0000"/>
          <w:sz w:val="24"/>
          <w:szCs w:val="24"/>
        </w:rPr>
        <w:t xml:space="preserve"> from 2013 to 2022</w:t>
      </w:r>
      <w:r w:rsidR="00A559DB" w:rsidRPr="006A4442">
        <w:rPr>
          <w:rFonts w:ascii="Times New Roman" w:eastAsia="Garamond" w:hAnsi="Times New Roman" w:cs="Times New Roman"/>
          <w:color w:val="EE0000"/>
          <w:sz w:val="24"/>
          <w:szCs w:val="24"/>
        </w:rPr>
        <w:t xml:space="preserve"> </w:t>
      </w:r>
      <w:r w:rsidR="00ED02EB" w:rsidRPr="006A4442">
        <w:rPr>
          <w:rFonts w:ascii="Times New Roman" w:hAnsi="Times New Roman" w:cs="Times New Roman"/>
          <w:color w:val="EE0000"/>
          <w:sz w:val="24"/>
          <w:szCs w:val="24"/>
        </w:rPr>
        <w:t>(Rodriguez 2024)</w:t>
      </w:r>
      <w:r w:rsidR="00ED02EB" w:rsidRPr="006A4442">
        <w:rPr>
          <w:rFonts w:ascii="Times New Roman" w:eastAsia="Garamond" w:hAnsi="Times New Roman" w:cs="Times New Roman"/>
          <w:color w:val="EE0000"/>
          <w:sz w:val="24"/>
          <w:szCs w:val="24"/>
        </w:rPr>
        <w:t>.</w:t>
      </w:r>
      <w:r w:rsidR="00ED02EB" w:rsidRPr="006A4442">
        <w:rPr>
          <w:rFonts w:ascii="Times New Roman" w:hAnsi="Times New Roman" w:cs="Times New Roman"/>
          <w:color w:val="EE0000"/>
          <w:sz w:val="24"/>
          <w:szCs w:val="24"/>
        </w:rPr>
        <w:t xml:space="preserve"> </w:t>
      </w:r>
      <w:r w:rsidR="00A559DB" w:rsidRPr="006A4442">
        <w:rPr>
          <w:rFonts w:ascii="Times New Roman" w:hAnsi="Times New Roman" w:cs="Times New Roman"/>
          <w:color w:val="EE0000"/>
          <w:sz w:val="24"/>
          <w:szCs w:val="24"/>
        </w:rPr>
        <w:t xml:space="preserve">However, </w:t>
      </w:r>
      <w:r w:rsidR="00A559DB" w:rsidRPr="006A4442">
        <w:rPr>
          <w:rFonts w:ascii="Times New Roman" w:eastAsia="Garamond" w:hAnsi="Times New Roman" w:cs="Times New Roman"/>
          <w:color w:val="EE0000"/>
          <w:sz w:val="24"/>
          <w:szCs w:val="24"/>
          <w14:ligatures w14:val="standard"/>
        </w:rPr>
        <w:t>c</w:t>
      </w:r>
      <w:r w:rsidR="00A656A1" w:rsidRPr="006A4442">
        <w:rPr>
          <w:rFonts w:ascii="Times New Roman" w:eastAsia="Garamond" w:hAnsi="Times New Roman" w:cs="Times New Roman"/>
          <w:color w:val="EE0000"/>
          <w:sz w:val="24"/>
          <w:szCs w:val="24"/>
          <w14:ligatures w14:val="standard"/>
        </w:rPr>
        <w:t>ritics</w:t>
      </w:r>
      <w:r w:rsidR="00A559DB" w:rsidRPr="006A4442">
        <w:rPr>
          <w:rFonts w:ascii="Times New Roman" w:eastAsia="Garamond" w:hAnsi="Times New Roman" w:cs="Times New Roman"/>
          <w:color w:val="EE0000"/>
          <w:sz w:val="24"/>
          <w:szCs w:val="24"/>
          <w14:ligatures w14:val="standard"/>
        </w:rPr>
        <w:t xml:space="preserve"> </w:t>
      </w:r>
      <w:r w:rsidR="00A656A1" w:rsidRPr="006A4442">
        <w:rPr>
          <w:rFonts w:ascii="Times New Roman" w:eastAsia="Garamond" w:hAnsi="Times New Roman" w:cs="Times New Roman"/>
          <w:color w:val="EE0000"/>
          <w:sz w:val="24"/>
          <w:szCs w:val="24"/>
          <w14:ligatures w14:val="standard"/>
        </w:rPr>
        <w:t>have questioned</w:t>
      </w:r>
      <w:r w:rsidR="006015A6" w:rsidRPr="006A4442">
        <w:rPr>
          <w:rFonts w:ascii="Times New Roman" w:eastAsia="Garamond" w:hAnsi="Times New Roman" w:cs="Times New Roman"/>
          <w:color w:val="EE0000"/>
          <w:sz w:val="24"/>
          <w:szCs w:val="24"/>
          <w14:ligatures w14:val="standard"/>
        </w:rPr>
        <w:t xml:space="preserve"> the utility of</w:t>
      </w:r>
      <w:r w:rsidR="00A656A1" w:rsidRPr="006A4442">
        <w:rPr>
          <w:rFonts w:ascii="Times New Roman" w:eastAsia="Garamond" w:hAnsi="Times New Roman" w:cs="Times New Roman"/>
          <w:color w:val="EE0000"/>
          <w:sz w:val="24"/>
          <w:szCs w:val="24"/>
          <w14:ligatures w14:val="standard"/>
        </w:rPr>
        <w:t xml:space="preserve"> </w:t>
      </w:r>
      <w:r w:rsidR="00A559DB" w:rsidRPr="006A4442">
        <w:rPr>
          <w:rFonts w:ascii="Times New Roman" w:eastAsia="Garamond" w:hAnsi="Times New Roman" w:cs="Times New Roman"/>
          <w:color w:val="EE0000"/>
          <w:sz w:val="24"/>
          <w:szCs w:val="24"/>
          <w14:ligatures w14:val="standard"/>
        </w:rPr>
        <w:t>TRI</w:t>
      </w:r>
      <w:r w:rsidR="00A656A1" w:rsidRPr="006A4442">
        <w:rPr>
          <w:rFonts w:ascii="Times New Roman" w:eastAsia="Garamond" w:hAnsi="Times New Roman" w:cs="Times New Roman"/>
          <w:color w:val="EE0000"/>
          <w:sz w:val="24"/>
          <w:szCs w:val="24"/>
          <w14:ligatures w14:val="standard"/>
        </w:rPr>
        <w:t xml:space="preserve"> data and have </w:t>
      </w:r>
      <w:r w:rsidR="00A559DB" w:rsidRPr="006A4442">
        <w:rPr>
          <w:rFonts w:ascii="Times New Roman" w:eastAsia="Garamond" w:hAnsi="Times New Roman" w:cs="Times New Roman"/>
          <w:color w:val="EE0000"/>
          <w:sz w:val="24"/>
          <w:szCs w:val="24"/>
          <w14:ligatures w14:val="standard"/>
        </w:rPr>
        <w:t>noted challenges relative to firms</w:t>
      </w:r>
      <w:r w:rsidR="006015A6" w:rsidRPr="006A4442">
        <w:rPr>
          <w:rFonts w:ascii="Times New Roman" w:eastAsia="Garamond" w:hAnsi="Times New Roman" w:cs="Times New Roman"/>
          <w:color w:val="EE0000"/>
          <w:sz w:val="24"/>
          <w:szCs w:val="24"/>
          <w14:ligatures w14:val="standard"/>
        </w:rPr>
        <w:t xml:space="preserve">’ disclosure and levels of cooperation </w:t>
      </w:r>
      <w:r w:rsidR="00A656A1" w:rsidRPr="006A4442">
        <w:rPr>
          <w:rFonts w:ascii="Times New Roman" w:hAnsi="Times New Roman" w:cs="Times New Roman"/>
          <w:color w:val="EE0000"/>
          <w:sz w:val="24"/>
          <w:szCs w:val="24"/>
        </w:rPr>
        <w:t>(Abel, Stephan, and Kraft 2007)</w:t>
      </w:r>
      <w:r w:rsidR="00A656A1" w:rsidRPr="006A4442">
        <w:rPr>
          <w:rFonts w:ascii="Times New Roman" w:eastAsia="Garamond" w:hAnsi="Times New Roman" w:cs="Times New Roman"/>
          <w:color w:val="EE0000"/>
          <w:sz w:val="24"/>
          <w:szCs w:val="24"/>
          <w14:ligatures w14:val="standard"/>
        </w:rPr>
        <w:t>.</w:t>
      </w:r>
      <w:r w:rsidR="004647E9" w:rsidRPr="006A4442">
        <w:rPr>
          <w:rFonts w:ascii="Times New Roman" w:eastAsia="Garamond" w:hAnsi="Times New Roman" w:cs="Times New Roman"/>
          <w:color w:val="EE0000"/>
          <w:sz w:val="24"/>
          <w:szCs w:val="24"/>
          <w14:ligatures w14:val="standard"/>
        </w:rPr>
        <w:t xml:space="preserve"> </w:t>
      </w:r>
      <w:r w:rsidR="007465C1" w:rsidRPr="006A4442">
        <w:rPr>
          <w:rFonts w:ascii="Times New Roman" w:eastAsia="Garamond" w:hAnsi="Times New Roman" w:cs="Times New Roman"/>
          <w:color w:val="EE0000"/>
          <w:sz w:val="24"/>
          <w:szCs w:val="24"/>
          <w14:ligatures w14:val="standard"/>
        </w:rPr>
        <w:t xml:space="preserve">Li </w:t>
      </w:r>
      <w:r w:rsidR="007465C1" w:rsidRPr="006A4442">
        <w:rPr>
          <w:rFonts w:ascii="Times New Roman" w:hAnsi="Times New Roman" w:cs="Times New Roman"/>
          <w:color w:val="EE0000"/>
          <w:sz w:val="24"/>
          <w:szCs w:val="24"/>
        </w:rPr>
        <w:t>(2023)</w:t>
      </w:r>
      <w:r w:rsidR="007465C1" w:rsidRPr="006A4442">
        <w:rPr>
          <w:rFonts w:ascii="Times New Roman" w:eastAsia="Garamond" w:hAnsi="Times New Roman" w:cs="Times New Roman"/>
          <w:color w:val="EE0000"/>
          <w:sz w:val="24"/>
          <w:szCs w:val="24"/>
          <w14:ligatures w14:val="standard"/>
        </w:rPr>
        <w:t xml:space="preserve"> </w:t>
      </w:r>
      <w:r w:rsidR="006A4442" w:rsidRPr="006A4442">
        <w:rPr>
          <w:rFonts w:ascii="Times New Roman" w:eastAsia="Garamond" w:hAnsi="Times New Roman" w:cs="Times New Roman"/>
          <w:color w:val="EE0000"/>
          <w:sz w:val="24"/>
          <w:szCs w:val="24"/>
          <w14:ligatures w14:val="standard"/>
        </w:rPr>
        <w:t xml:space="preserve">found a </w:t>
      </w:r>
      <w:r w:rsidR="007465C1" w:rsidRPr="006A4442">
        <w:rPr>
          <w:rFonts w:ascii="Times New Roman" w:eastAsia="Garamond" w:hAnsi="Times New Roman" w:cs="Times New Roman"/>
          <w:color w:val="EE0000"/>
          <w:sz w:val="24"/>
          <w:szCs w:val="24"/>
          <w14:ligatures w14:val="standard"/>
        </w:rPr>
        <w:t>positive relationship between firm disclosure and</w:t>
      </w:r>
      <w:r w:rsidR="006A4442" w:rsidRPr="006A4442">
        <w:rPr>
          <w:rFonts w:ascii="Times New Roman" w:eastAsia="Garamond" w:hAnsi="Times New Roman" w:cs="Times New Roman"/>
          <w:color w:val="EE0000"/>
          <w:sz w:val="24"/>
          <w:szCs w:val="24"/>
          <w14:ligatures w14:val="standard"/>
        </w:rPr>
        <w:t xml:space="preserve"> Clean Air Act</w:t>
      </w:r>
      <w:r w:rsidR="007465C1" w:rsidRPr="006A4442">
        <w:rPr>
          <w:rFonts w:ascii="Times New Roman" w:eastAsia="Garamond" w:hAnsi="Times New Roman" w:cs="Times New Roman"/>
          <w:color w:val="EE0000"/>
          <w:sz w:val="24"/>
          <w:szCs w:val="24"/>
          <w14:ligatures w14:val="standard"/>
        </w:rPr>
        <w:t xml:space="preserve"> </w:t>
      </w:r>
      <w:r w:rsidR="007465C1" w:rsidRPr="006A4442">
        <w:rPr>
          <w:rFonts w:ascii="Times New Roman" w:eastAsia="Garamond" w:hAnsi="Times New Roman" w:cs="Times New Roman"/>
          <w:color w:val="EE0000"/>
          <w:sz w:val="24"/>
          <w:szCs w:val="24"/>
          <w14:ligatures w14:val="standard"/>
        </w:rPr>
        <w:lastRenderedPageBreak/>
        <w:t xml:space="preserve">inspections. </w:t>
      </w:r>
      <w:r w:rsidR="006A4442" w:rsidRPr="006A4442">
        <w:rPr>
          <w:rFonts w:ascii="Times New Roman" w:eastAsia="Garamond" w:hAnsi="Times New Roman" w:cs="Times New Roman"/>
          <w:color w:val="EE0000"/>
          <w:sz w:val="24"/>
          <w:szCs w:val="24"/>
          <w14:ligatures w14:val="standard"/>
        </w:rPr>
        <w:t>Yet</w:t>
      </w:r>
      <w:r w:rsidR="007465C1" w:rsidRPr="006A4442">
        <w:rPr>
          <w:rFonts w:ascii="Times New Roman" w:eastAsia="Garamond" w:hAnsi="Times New Roman" w:cs="Times New Roman"/>
          <w:color w:val="EE0000"/>
          <w:sz w:val="24"/>
          <w:szCs w:val="24"/>
          <w14:ligatures w14:val="standard"/>
        </w:rPr>
        <w:t>,</w:t>
      </w:r>
      <w:r w:rsidR="006A4442" w:rsidRPr="006A4442">
        <w:rPr>
          <w:rFonts w:ascii="Times New Roman" w:eastAsia="Garamond" w:hAnsi="Times New Roman" w:cs="Times New Roman"/>
          <w:color w:val="EE0000"/>
          <w:sz w:val="24"/>
          <w:szCs w:val="24"/>
          <w14:ligatures w14:val="standard"/>
        </w:rPr>
        <w:t xml:space="preserve"> this dynamic was unrelated to levels of </w:t>
      </w:r>
      <w:r w:rsidR="007465C1" w:rsidRPr="006A4442">
        <w:rPr>
          <w:rFonts w:ascii="Times New Roman" w:eastAsia="Garamond" w:hAnsi="Times New Roman" w:cs="Times New Roman"/>
          <w:color w:val="EE0000"/>
          <w:sz w:val="24"/>
          <w:szCs w:val="24"/>
          <w14:ligatures w14:val="standard"/>
        </w:rPr>
        <w:t xml:space="preserve">citizen activism, greater population density, and educational attainment. </w:t>
      </w:r>
      <w:r w:rsidR="006A4442" w:rsidRPr="006A4442">
        <w:rPr>
          <w:rFonts w:ascii="Times New Roman" w:hAnsi="Times New Roman" w:cs="Times New Roman"/>
          <w:color w:val="EE0000"/>
          <w:sz w:val="24"/>
          <w:szCs w:val="24"/>
        </w:rPr>
        <w:t xml:space="preserve">Other studies have observed similar results. </w:t>
      </w:r>
      <w:proofErr w:type="spellStart"/>
      <w:r w:rsidR="006A4442" w:rsidRPr="006A4442">
        <w:rPr>
          <w:rFonts w:ascii="Times New Roman" w:hAnsi="Times New Roman" w:cs="Times New Roman"/>
          <w:color w:val="EE0000"/>
          <w:sz w:val="24"/>
          <w:szCs w:val="24"/>
        </w:rPr>
        <w:t>Bennear</w:t>
      </w:r>
      <w:proofErr w:type="spellEnd"/>
      <w:r w:rsidR="006A4442" w:rsidRPr="006A4442">
        <w:rPr>
          <w:rFonts w:ascii="Times New Roman" w:hAnsi="Times New Roman" w:cs="Times New Roman"/>
          <w:color w:val="EE0000"/>
          <w:sz w:val="24"/>
          <w:szCs w:val="24"/>
        </w:rPr>
        <w:t xml:space="preserve"> and Olmstead (2008), for example, noted uneven results relative to the impact of disclosure on water-related outputs. Delmas et al. (2013, 2010) also found that information disclosure improved environmental performance for some firms but not others. Finally, Kraft, Stephen, and Abel (2011) concluded that community-level attributes, market reactions, federal and state environmental differences, and corporate commitments impacted TRI-related decision-making.</w:t>
      </w:r>
    </w:p>
    <w:p w14:paraId="35B15E38" w14:textId="6BD005F2" w:rsidR="00500C0B" w:rsidRPr="00A86954" w:rsidRDefault="006A4442" w:rsidP="006A4442">
      <w:pPr>
        <w:spacing w:after="0" w:line="480" w:lineRule="auto"/>
        <w:rPr>
          <w:rFonts w:ascii="Times New Roman" w:eastAsia="Garamond" w:hAnsi="Times New Roman" w:cs="Times New Roman"/>
          <w:color w:val="EE0000"/>
          <w:sz w:val="24"/>
          <w:szCs w:val="24"/>
          <w14:ligatures w14:val="standard"/>
        </w:rPr>
      </w:pPr>
      <w:r w:rsidRPr="00A86954">
        <w:rPr>
          <w:rFonts w:ascii="Times New Roman" w:eastAsia="Garamond" w:hAnsi="Times New Roman" w:cs="Times New Roman"/>
          <w:i/>
          <w:iCs/>
          <w:color w:val="EE0000"/>
          <w:sz w:val="24"/>
          <w:szCs w:val="24"/>
          <w14:ligatures w14:val="standard"/>
        </w:rPr>
        <w:t>Disclosure and Agency Performance</w:t>
      </w:r>
    </w:p>
    <w:p w14:paraId="47059971" w14:textId="3E4052EB" w:rsidR="003769A5" w:rsidRPr="00A86954" w:rsidRDefault="006A4442" w:rsidP="003769A5">
      <w:pPr>
        <w:spacing w:after="0" w:line="480" w:lineRule="auto"/>
        <w:ind w:left="-14" w:right="-14" w:firstLine="720"/>
        <w:rPr>
          <w:rFonts w:ascii="Times New Roman" w:eastAsia="Garamond" w:hAnsi="Times New Roman" w:cs="Times New Roman"/>
          <w:color w:val="EE0000"/>
          <w:sz w:val="24"/>
          <w:szCs w:val="24"/>
          <w14:ligatures w14:val="standard"/>
        </w:rPr>
      </w:pPr>
      <w:r w:rsidRPr="00A86954">
        <w:rPr>
          <w:rFonts w:ascii="Times New Roman" w:eastAsia="Garamond" w:hAnsi="Times New Roman" w:cs="Times New Roman"/>
          <w:color w:val="EE0000"/>
          <w:sz w:val="24"/>
          <w:szCs w:val="24"/>
          <w14:ligatures w14:val="standard"/>
        </w:rPr>
        <w:t>A second vein of disclosure literature examines the role of information disclosure as a driver (or not) of</w:t>
      </w:r>
      <w:r w:rsidR="003769A5" w:rsidRPr="00A86954">
        <w:rPr>
          <w:rFonts w:ascii="Times New Roman" w:eastAsia="Garamond" w:hAnsi="Times New Roman" w:cs="Times New Roman"/>
          <w:color w:val="EE0000"/>
          <w:sz w:val="24"/>
          <w:szCs w:val="24"/>
          <w14:ligatures w14:val="standard"/>
        </w:rPr>
        <w:t xml:space="preserve"> agency performance</w:t>
      </w:r>
      <w:r w:rsidRPr="00A86954">
        <w:rPr>
          <w:rFonts w:ascii="Times New Roman" w:eastAsia="Garamond" w:hAnsi="Times New Roman" w:cs="Times New Roman"/>
          <w:color w:val="EE0000"/>
          <w:sz w:val="24"/>
          <w:szCs w:val="24"/>
          <w14:ligatures w14:val="standard"/>
        </w:rPr>
        <w:t>. It shares a similar logic as the previous scholarship</w:t>
      </w:r>
      <w:r w:rsidR="00A86954" w:rsidRPr="00A86954">
        <w:rPr>
          <w:rFonts w:ascii="Times New Roman" w:eastAsia="Garamond" w:hAnsi="Times New Roman" w:cs="Times New Roman"/>
          <w:color w:val="EE0000"/>
          <w:sz w:val="24"/>
          <w:szCs w:val="24"/>
          <w14:ligatures w14:val="standard"/>
        </w:rPr>
        <w:t xml:space="preserve"> – disclosure </w:t>
      </w:r>
      <w:r w:rsidRPr="00A86954">
        <w:rPr>
          <w:rFonts w:ascii="Times New Roman" w:eastAsia="Garamond" w:hAnsi="Times New Roman" w:cs="Times New Roman"/>
          <w:color w:val="EE0000"/>
          <w:sz w:val="24"/>
          <w:szCs w:val="24"/>
          <w14:ligatures w14:val="standard"/>
        </w:rPr>
        <w:t xml:space="preserve">is more likely to effectuate change </w:t>
      </w:r>
      <w:r w:rsidR="003769A5" w:rsidRPr="00A86954">
        <w:rPr>
          <w:rFonts w:ascii="Times New Roman" w:eastAsia="Garamond" w:hAnsi="Times New Roman" w:cs="Times New Roman"/>
          <w:color w:val="EE0000"/>
          <w:sz w:val="24"/>
          <w:szCs w:val="24"/>
          <w14:ligatures w14:val="standard"/>
        </w:rPr>
        <w:t xml:space="preserve">when </w:t>
      </w:r>
      <w:r w:rsidRPr="00A86954">
        <w:rPr>
          <w:rFonts w:ascii="Times New Roman" w:eastAsia="Garamond" w:hAnsi="Times New Roman" w:cs="Times New Roman"/>
          <w:color w:val="EE0000"/>
          <w:sz w:val="24"/>
          <w:szCs w:val="24"/>
          <w14:ligatures w14:val="standard"/>
        </w:rPr>
        <w:t>the information holds strategic value</w:t>
      </w:r>
      <w:r w:rsidR="00A86954" w:rsidRPr="00A86954">
        <w:rPr>
          <w:rFonts w:ascii="Times New Roman" w:eastAsia="Garamond" w:hAnsi="Times New Roman" w:cs="Times New Roman"/>
          <w:color w:val="EE0000"/>
          <w:sz w:val="24"/>
          <w:szCs w:val="24"/>
          <w14:ligatures w14:val="standard"/>
        </w:rPr>
        <w:t>, if it conflicts with existing</w:t>
      </w:r>
      <w:r w:rsidRPr="00A86954">
        <w:rPr>
          <w:rFonts w:ascii="Times New Roman" w:eastAsia="Garamond" w:hAnsi="Times New Roman" w:cs="Times New Roman"/>
          <w:color w:val="EE0000"/>
          <w:sz w:val="24"/>
          <w:szCs w:val="24"/>
          <w14:ligatures w14:val="standard"/>
        </w:rPr>
        <w:t xml:space="preserve"> </w:t>
      </w:r>
      <w:r w:rsidR="003769A5" w:rsidRPr="00A86954">
        <w:rPr>
          <w:rFonts w:ascii="Times New Roman" w:eastAsia="Garamond" w:hAnsi="Times New Roman" w:cs="Times New Roman"/>
          <w:color w:val="EE0000"/>
          <w:sz w:val="24"/>
          <w:szCs w:val="24"/>
          <w14:ligatures w14:val="standard"/>
        </w:rPr>
        <w:t>perceptions or beliefs</w:t>
      </w:r>
      <w:r w:rsidR="00A86954" w:rsidRPr="00A86954">
        <w:rPr>
          <w:rFonts w:ascii="Times New Roman" w:eastAsia="Garamond" w:hAnsi="Times New Roman" w:cs="Times New Roman"/>
          <w:color w:val="EE0000"/>
          <w:sz w:val="24"/>
          <w:szCs w:val="24"/>
          <w14:ligatures w14:val="standard"/>
        </w:rPr>
        <w:t xml:space="preserve">, and when it is acted upon by actors (Anderson et al. 2022; Helland 1998; </w:t>
      </w:r>
      <w:r w:rsidR="003769A5" w:rsidRPr="00A86954">
        <w:rPr>
          <w:rFonts w:ascii="Times New Roman" w:hAnsi="Times New Roman" w:cs="Times New Roman"/>
          <w:color w:val="EE0000"/>
          <w:sz w:val="24"/>
          <w:szCs w:val="24"/>
        </w:rPr>
        <w:t>Tremblay-Boire and Prakash 2015; Marquis, Toffel, and Zhou 2016)</w:t>
      </w:r>
      <w:r w:rsidR="003769A5" w:rsidRPr="00A86954">
        <w:rPr>
          <w:rFonts w:ascii="Times New Roman" w:eastAsia="Garamond" w:hAnsi="Times New Roman" w:cs="Times New Roman"/>
          <w:color w:val="EE0000"/>
          <w:sz w:val="24"/>
          <w:szCs w:val="24"/>
          <w14:ligatures w14:val="standard"/>
        </w:rPr>
        <w:t>.</w:t>
      </w:r>
    </w:p>
    <w:p w14:paraId="26ED30B0" w14:textId="294521FE" w:rsidR="00022F60" w:rsidRPr="00022F60" w:rsidRDefault="00A86954" w:rsidP="00022F60">
      <w:pPr>
        <w:spacing w:after="0" w:line="480" w:lineRule="auto"/>
        <w:ind w:left="-14" w:right="-14" w:firstLine="720"/>
        <w:rPr>
          <w:rFonts w:ascii="Times New Roman" w:eastAsia="Garamond" w:hAnsi="Times New Roman" w:cs="Times New Roman"/>
          <w:color w:val="EE0000"/>
          <w:sz w:val="24"/>
          <w:szCs w:val="24"/>
          <w14:ligatures w14:val="standard"/>
        </w:rPr>
      </w:pPr>
      <w:r w:rsidRPr="00022F60">
        <w:rPr>
          <w:rFonts w:ascii="Times New Roman" w:eastAsia="Garamond" w:hAnsi="Times New Roman" w:cs="Times New Roman"/>
          <w:color w:val="EE0000"/>
          <w:sz w:val="24"/>
          <w:szCs w:val="24"/>
          <w14:ligatures w14:val="standard"/>
        </w:rPr>
        <w:t>Of interest here is empirical scholarship that has</w:t>
      </w:r>
      <w:r w:rsidR="00ED02EB" w:rsidRPr="00022F60">
        <w:rPr>
          <w:rFonts w:ascii="Times New Roman" w:eastAsia="Garamond" w:hAnsi="Times New Roman" w:cs="Times New Roman"/>
          <w:color w:val="EE0000"/>
          <w:sz w:val="24"/>
          <w:szCs w:val="24"/>
          <w14:ligatures w14:val="standard"/>
        </w:rPr>
        <w:t xml:space="preserve"> also assess</w:t>
      </w:r>
      <w:r w:rsidRPr="00022F60">
        <w:rPr>
          <w:rFonts w:ascii="Times New Roman" w:eastAsia="Garamond" w:hAnsi="Times New Roman" w:cs="Times New Roman"/>
          <w:color w:val="EE0000"/>
          <w:sz w:val="24"/>
          <w:szCs w:val="24"/>
          <w14:ligatures w14:val="standard"/>
        </w:rPr>
        <w:t>ed</w:t>
      </w:r>
      <w:r w:rsidR="00ED02EB" w:rsidRPr="00022F60">
        <w:rPr>
          <w:rFonts w:ascii="Times New Roman" w:eastAsia="Garamond" w:hAnsi="Times New Roman" w:cs="Times New Roman"/>
          <w:color w:val="EE0000"/>
          <w:sz w:val="24"/>
          <w:szCs w:val="24"/>
          <w14:ligatures w14:val="standard"/>
        </w:rPr>
        <w:t xml:space="preserve"> the impact of information disclosure on</w:t>
      </w:r>
      <w:r w:rsidRPr="00022F60">
        <w:rPr>
          <w:rFonts w:ascii="Times New Roman" w:eastAsia="Garamond" w:hAnsi="Times New Roman" w:cs="Times New Roman"/>
          <w:color w:val="EE0000"/>
          <w:sz w:val="24"/>
          <w:szCs w:val="24"/>
          <w14:ligatures w14:val="standard"/>
        </w:rPr>
        <w:t xml:space="preserve"> administrative</w:t>
      </w:r>
      <w:r w:rsidR="00ED02EB" w:rsidRPr="00022F60">
        <w:rPr>
          <w:rFonts w:ascii="Times New Roman" w:eastAsia="Garamond" w:hAnsi="Times New Roman" w:cs="Times New Roman"/>
          <w:color w:val="EE0000"/>
          <w:sz w:val="24"/>
          <w:szCs w:val="24"/>
          <w14:ligatures w14:val="standard"/>
        </w:rPr>
        <w:t xml:space="preserve"> performance </w:t>
      </w:r>
      <w:r w:rsidR="00B80B38" w:rsidRPr="00022F60">
        <w:rPr>
          <w:rFonts w:ascii="Times New Roman" w:hAnsi="Times New Roman" w:cs="Times New Roman"/>
          <w:color w:val="EE0000"/>
          <w:sz w:val="24"/>
          <w:szCs w:val="24"/>
        </w:rPr>
        <w:t>(Konisky and Reenock 2013; Grimmelikhuijsen et al. 2013; Grimmelikhuijsen and Welch 2012; Moynihan and Pandey 2010; Scholz and Wei 1986)</w:t>
      </w:r>
      <w:r w:rsidRPr="00022F60">
        <w:rPr>
          <w:rFonts w:ascii="Times New Roman" w:eastAsia="Garamond" w:hAnsi="Times New Roman" w:cs="Times New Roman"/>
          <w:color w:val="EE0000"/>
          <w:sz w:val="24"/>
          <w:szCs w:val="24"/>
          <w14:ligatures w14:val="standard"/>
        </w:rPr>
        <w:t xml:space="preserve"> with results decidedly mixed. Here</w:t>
      </w:r>
      <w:r w:rsidR="00ED02EB" w:rsidRPr="00022F60">
        <w:rPr>
          <w:rFonts w:ascii="Times New Roman" w:eastAsia="Garamond" w:hAnsi="Times New Roman" w:cs="Times New Roman"/>
          <w:color w:val="EE0000"/>
          <w:sz w:val="24"/>
          <w:szCs w:val="24"/>
          <w14:ligatures w14:val="standard"/>
        </w:rPr>
        <w:t xml:space="preserve">, </w:t>
      </w:r>
      <w:r w:rsidRPr="00022F60">
        <w:rPr>
          <w:rFonts w:ascii="Times New Roman" w:eastAsia="Garamond" w:hAnsi="Times New Roman" w:cs="Times New Roman"/>
          <w:color w:val="EE0000"/>
          <w:sz w:val="24"/>
          <w:szCs w:val="24"/>
          <w14:ligatures w14:val="standard"/>
        </w:rPr>
        <w:t>disclosure of</w:t>
      </w:r>
      <w:r w:rsidR="00ED02EB" w:rsidRPr="00022F60">
        <w:rPr>
          <w:rFonts w:ascii="Times New Roman" w:eastAsia="Garamond" w:hAnsi="Times New Roman" w:cs="Times New Roman"/>
          <w:color w:val="EE0000"/>
          <w:sz w:val="24"/>
          <w:szCs w:val="24"/>
          <w14:ligatures w14:val="standard"/>
        </w:rPr>
        <w:t xml:space="preserve"> performance-related information </w:t>
      </w:r>
      <w:r w:rsidRPr="00022F60">
        <w:rPr>
          <w:rFonts w:ascii="Times New Roman" w:eastAsia="Garamond" w:hAnsi="Times New Roman" w:cs="Times New Roman"/>
          <w:color w:val="EE0000"/>
          <w:sz w:val="24"/>
          <w:szCs w:val="24"/>
          <w14:ligatures w14:val="standard"/>
        </w:rPr>
        <w:t>can</w:t>
      </w:r>
      <w:r w:rsidR="00ED02EB" w:rsidRPr="00022F60">
        <w:rPr>
          <w:rFonts w:ascii="Times New Roman" w:eastAsia="Garamond" w:hAnsi="Times New Roman" w:cs="Times New Roman"/>
          <w:color w:val="EE0000"/>
          <w:sz w:val="24"/>
          <w:szCs w:val="24"/>
          <w14:ligatures w14:val="standard"/>
        </w:rPr>
        <w:t xml:space="preserve"> shape behaviors by </w:t>
      </w:r>
      <w:r w:rsidRPr="00022F60">
        <w:rPr>
          <w:rFonts w:ascii="Times New Roman" w:eastAsia="Garamond" w:hAnsi="Times New Roman" w:cs="Times New Roman"/>
          <w:color w:val="EE0000"/>
          <w:sz w:val="24"/>
          <w:szCs w:val="24"/>
          <w14:ligatures w14:val="standard"/>
        </w:rPr>
        <w:t xml:space="preserve">challenging perceived levels of performance </w:t>
      </w:r>
      <w:r w:rsidR="00022F60" w:rsidRPr="00022F60">
        <w:rPr>
          <w:rFonts w:ascii="Times New Roman" w:eastAsia="Garamond" w:hAnsi="Times New Roman" w:cs="Times New Roman"/>
          <w:color w:val="EE0000"/>
          <w:sz w:val="24"/>
          <w:szCs w:val="24"/>
          <w14:ligatures w14:val="standard"/>
        </w:rPr>
        <w:t xml:space="preserve">and/or how agency elites and elected officials evaluate administrative performance. </w:t>
      </w:r>
      <w:r w:rsidR="000815BB" w:rsidRPr="00022F60">
        <w:rPr>
          <w:rFonts w:ascii="Times New Roman" w:eastAsia="Garamond" w:hAnsi="Times New Roman" w:cs="Times New Roman"/>
          <w:color w:val="EE0000"/>
          <w:sz w:val="24"/>
          <w:szCs w:val="24"/>
          <w14:ligatures w14:val="standard"/>
        </w:rPr>
        <w:t xml:space="preserve">Extant research has </w:t>
      </w:r>
      <w:r w:rsidR="005D0FED" w:rsidRPr="00022F60">
        <w:rPr>
          <w:rFonts w:ascii="Times New Roman" w:eastAsia="Garamond" w:hAnsi="Times New Roman" w:cs="Times New Roman"/>
          <w:color w:val="EE0000"/>
          <w:sz w:val="24"/>
          <w:szCs w:val="24"/>
          <w14:ligatures w14:val="standard"/>
        </w:rPr>
        <w:t xml:space="preserve">found evidence of both mechanisms </w:t>
      </w:r>
      <w:r w:rsidR="00F92DB3" w:rsidRPr="00022F60">
        <w:rPr>
          <w:rFonts w:ascii="Times New Roman" w:hAnsi="Times New Roman" w:cs="Times New Roman"/>
          <w:color w:val="EE0000"/>
          <w:sz w:val="24"/>
        </w:rPr>
        <w:t>(Hansen and Nielsen 2022</w:t>
      </w:r>
      <w:r w:rsidRPr="00022F60">
        <w:rPr>
          <w:rFonts w:ascii="Times New Roman" w:hAnsi="Times New Roman" w:cs="Times New Roman"/>
          <w:color w:val="EE0000"/>
          <w:sz w:val="24"/>
        </w:rPr>
        <w:t>;</w:t>
      </w:r>
      <w:r w:rsidRPr="00022F60">
        <w:rPr>
          <w:rFonts w:ascii="Times New Roman" w:hAnsi="Times New Roman" w:cs="Times New Roman"/>
          <w:color w:val="EE0000"/>
          <w:sz w:val="24"/>
          <w:szCs w:val="24"/>
        </w:rPr>
        <w:t xml:space="preserve"> (Lee 2022; Meier et al. 2022; Bustos 2021; Etienne 2015; Moynihan and Soss 2014)</w:t>
      </w:r>
      <w:r w:rsidRPr="00022F60">
        <w:rPr>
          <w:rFonts w:ascii="Times New Roman" w:eastAsia="Garamond" w:hAnsi="Times New Roman" w:cs="Times New Roman"/>
          <w:color w:val="EE0000"/>
          <w:sz w:val="24"/>
          <w:szCs w:val="24"/>
        </w:rPr>
        <w:t xml:space="preserve">. </w:t>
      </w:r>
      <w:r w:rsidR="00022F60" w:rsidRPr="00022F60">
        <w:rPr>
          <w:rFonts w:ascii="Times New Roman" w:eastAsia="Garamond" w:hAnsi="Times New Roman" w:cs="Times New Roman"/>
          <w:color w:val="EE0000"/>
          <w:sz w:val="24"/>
          <w:szCs w:val="24"/>
        </w:rPr>
        <w:t xml:space="preserve">Representative of these findings is work by </w:t>
      </w:r>
      <w:r w:rsidR="00ED02EB" w:rsidRPr="00022F60">
        <w:rPr>
          <w:rFonts w:ascii="Times New Roman" w:eastAsia="Garamond" w:hAnsi="Times New Roman" w:cs="Times New Roman"/>
          <w:color w:val="EE0000"/>
          <w:sz w:val="24"/>
          <w:szCs w:val="24"/>
          <w14:ligatures w14:val="standard"/>
        </w:rPr>
        <w:t xml:space="preserve">Carpenter and Krause </w:t>
      </w:r>
      <w:r w:rsidR="00ED02EB" w:rsidRPr="00022F60">
        <w:rPr>
          <w:rFonts w:ascii="Times New Roman" w:hAnsi="Times New Roman" w:cs="Times New Roman"/>
          <w:color w:val="EE0000"/>
          <w:sz w:val="24"/>
          <w:szCs w:val="24"/>
        </w:rPr>
        <w:t>(2012)</w:t>
      </w:r>
      <w:r w:rsidR="00ED02EB" w:rsidRPr="00022F60">
        <w:rPr>
          <w:rFonts w:ascii="Times New Roman" w:eastAsia="Garamond" w:hAnsi="Times New Roman" w:cs="Times New Roman"/>
          <w:color w:val="EE0000"/>
          <w:sz w:val="24"/>
          <w:szCs w:val="24"/>
          <w14:ligatures w14:val="standard"/>
        </w:rPr>
        <w:t xml:space="preserve"> and Moynihan and Hawes </w:t>
      </w:r>
      <w:r w:rsidR="00ED02EB" w:rsidRPr="00022F60">
        <w:rPr>
          <w:rFonts w:ascii="Times New Roman" w:hAnsi="Times New Roman" w:cs="Times New Roman"/>
          <w:color w:val="EE0000"/>
          <w:sz w:val="24"/>
          <w:szCs w:val="24"/>
        </w:rPr>
        <w:t>(2012)</w:t>
      </w:r>
      <w:r w:rsidR="00022F60" w:rsidRPr="00022F60">
        <w:rPr>
          <w:rFonts w:ascii="Times New Roman" w:eastAsia="Garamond" w:hAnsi="Times New Roman" w:cs="Times New Roman"/>
          <w:color w:val="EE0000"/>
          <w:sz w:val="24"/>
          <w:szCs w:val="24"/>
          <w14:ligatures w14:val="standard"/>
        </w:rPr>
        <w:t xml:space="preserve"> that found disclosed </w:t>
      </w:r>
      <w:r w:rsidR="00ED02EB" w:rsidRPr="00022F60">
        <w:rPr>
          <w:rFonts w:ascii="Times New Roman" w:eastAsia="Garamond" w:hAnsi="Times New Roman" w:cs="Times New Roman"/>
          <w:color w:val="EE0000"/>
          <w:sz w:val="24"/>
          <w:szCs w:val="24"/>
          <w14:ligatures w14:val="standard"/>
        </w:rPr>
        <w:t xml:space="preserve">information </w:t>
      </w:r>
      <w:r w:rsidR="00022F60" w:rsidRPr="00022F60">
        <w:rPr>
          <w:rFonts w:ascii="Times New Roman" w:eastAsia="Garamond" w:hAnsi="Times New Roman" w:cs="Times New Roman"/>
          <w:color w:val="EE0000"/>
          <w:sz w:val="24"/>
          <w:szCs w:val="24"/>
          <w14:ligatures w14:val="standard"/>
        </w:rPr>
        <w:t>which</w:t>
      </w:r>
      <w:r w:rsidR="00ED02EB" w:rsidRPr="00022F60">
        <w:rPr>
          <w:rFonts w:ascii="Times New Roman" w:eastAsia="Garamond" w:hAnsi="Times New Roman" w:cs="Times New Roman"/>
          <w:color w:val="EE0000"/>
          <w:sz w:val="24"/>
          <w:szCs w:val="24"/>
          <w14:ligatures w14:val="standard"/>
        </w:rPr>
        <w:t xml:space="preserve"> threatens </w:t>
      </w:r>
      <w:r w:rsidR="00022F60" w:rsidRPr="00022F60">
        <w:rPr>
          <w:rFonts w:ascii="Times New Roman" w:eastAsia="Garamond" w:hAnsi="Times New Roman" w:cs="Times New Roman"/>
          <w:color w:val="EE0000"/>
          <w:sz w:val="24"/>
          <w:szCs w:val="24"/>
          <w14:ligatures w14:val="standard"/>
        </w:rPr>
        <w:t>agency</w:t>
      </w:r>
      <w:r w:rsidR="00ED02EB" w:rsidRPr="00022F60">
        <w:rPr>
          <w:rFonts w:ascii="Times New Roman" w:eastAsia="Garamond" w:hAnsi="Times New Roman" w:cs="Times New Roman"/>
          <w:color w:val="EE0000"/>
          <w:sz w:val="24"/>
          <w:szCs w:val="24"/>
          <w14:ligatures w14:val="standard"/>
        </w:rPr>
        <w:t xml:space="preserve"> reputation </w:t>
      </w:r>
      <w:r w:rsidR="00022F60" w:rsidRPr="00022F60">
        <w:rPr>
          <w:rFonts w:ascii="Times New Roman" w:eastAsia="Garamond" w:hAnsi="Times New Roman" w:cs="Times New Roman"/>
          <w:color w:val="EE0000"/>
          <w:sz w:val="24"/>
          <w:szCs w:val="24"/>
          <w14:ligatures w14:val="standard"/>
        </w:rPr>
        <w:t>is the most likely to influence performance</w:t>
      </w:r>
      <w:r w:rsidR="000447EE" w:rsidRPr="00022F60">
        <w:rPr>
          <w:rFonts w:ascii="Times New Roman" w:eastAsia="Garamond" w:hAnsi="Times New Roman" w:cs="Times New Roman"/>
          <w:color w:val="EE0000"/>
          <w:sz w:val="24"/>
          <w:szCs w:val="24"/>
          <w14:ligatures w14:val="standard"/>
        </w:rPr>
        <w:t xml:space="preserve"> </w:t>
      </w:r>
      <w:r w:rsidR="00ED02EB" w:rsidRPr="00022F60">
        <w:rPr>
          <w:rFonts w:ascii="Times New Roman" w:hAnsi="Times New Roman" w:cs="Times New Roman"/>
          <w:color w:val="EE0000"/>
          <w:sz w:val="24"/>
          <w:szCs w:val="24"/>
        </w:rPr>
        <w:t xml:space="preserve">(Bustos 2021; Etienne </w:t>
      </w:r>
      <w:r w:rsidR="00ED02EB" w:rsidRPr="00022F60">
        <w:rPr>
          <w:rFonts w:ascii="Times New Roman" w:hAnsi="Times New Roman" w:cs="Times New Roman"/>
          <w:color w:val="EE0000"/>
          <w:sz w:val="24"/>
          <w:szCs w:val="24"/>
        </w:rPr>
        <w:lastRenderedPageBreak/>
        <w:t>2015; Lee 2022)</w:t>
      </w:r>
      <w:r w:rsidR="00ED02EB" w:rsidRPr="00022F60">
        <w:rPr>
          <w:rFonts w:ascii="Times New Roman" w:eastAsia="Garamond" w:hAnsi="Times New Roman" w:cs="Times New Roman"/>
          <w:color w:val="EE0000"/>
          <w:sz w:val="24"/>
          <w:szCs w:val="24"/>
          <w14:ligatures w14:val="standard"/>
        </w:rPr>
        <w:t xml:space="preserve">. </w:t>
      </w:r>
      <w:r w:rsidR="00022F60" w:rsidRPr="00022F60">
        <w:rPr>
          <w:rFonts w:ascii="Times New Roman" w:eastAsia="Garamond" w:hAnsi="Times New Roman" w:cs="Times New Roman"/>
          <w:color w:val="EE0000"/>
          <w:sz w:val="24"/>
          <w:szCs w:val="24"/>
          <w14:ligatures w14:val="standard"/>
        </w:rPr>
        <w:t>In short</w:t>
      </w:r>
      <w:r w:rsidR="00ED02EB" w:rsidRPr="00022F60">
        <w:rPr>
          <w:rFonts w:ascii="Times New Roman" w:eastAsia="Garamond" w:hAnsi="Times New Roman" w:cs="Times New Roman"/>
          <w:color w:val="EE0000"/>
          <w:sz w:val="24"/>
          <w:szCs w:val="24"/>
          <w14:ligatures w14:val="standard"/>
        </w:rPr>
        <w:t xml:space="preserve">, as noted by Li </w:t>
      </w:r>
      <w:r w:rsidR="00ED02EB" w:rsidRPr="00022F60">
        <w:rPr>
          <w:rFonts w:ascii="Times New Roman" w:hAnsi="Times New Roman" w:cs="Times New Roman"/>
          <w:color w:val="EE0000"/>
          <w:sz w:val="24"/>
          <w:szCs w:val="24"/>
        </w:rPr>
        <w:t>(2023)</w:t>
      </w:r>
      <w:r w:rsidR="00ED02EB" w:rsidRPr="00022F60">
        <w:rPr>
          <w:rFonts w:ascii="Times New Roman" w:eastAsia="Garamond" w:hAnsi="Times New Roman" w:cs="Times New Roman"/>
          <w:color w:val="EE0000"/>
          <w:sz w:val="24"/>
          <w:szCs w:val="24"/>
          <w14:ligatures w14:val="standard"/>
        </w:rPr>
        <w:t xml:space="preserve">, “when their reputation is at risk, government agencies tend to heighten their scrutiny of entities with poor reputations to distance themselves from criticized actors and shield against external backlash” </w:t>
      </w:r>
      <w:r w:rsidR="00ED02EB" w:rsidRPr="00022F60">
        <w:rPr>
          <w:rFonts w:ascii="Times New Roman" w:hAnsi="Times New Roman" w:cs="Times New Roman"/>
          <w:color w:val="EE0000"/>
          <w:sz w:val="24"/>
          <w:szCs w:val="24"/>
        </w:rPr>
        <w:t xml:space="preserve">(Hiatt and Park 2013; Maor and </w:t>
      </w:r>
      <w:proofErr w:type="spellStart"/>
      <w:r w:rsidR="00ED02EB" w:rsidRPr="00022F60">
        <w:rPr>
          <w:rFonts w:ascii="Times New Roman" w:hAnsi="Times New Roman" w:cs="Times New Roman"/>
          <w:color w:val="EE0000"/>
          <w:sz w:val="24"/>
          <w:szCs w:val="24"/>
        </w:rPr>
        <w:t>Sulitzeanu</w:t>
      </w:r>
      <w:proofErr w:type="spellEnd"/>
      <w:r w:rsidR="00ED02EB" w:rsidRPr="00022F60">
        <w:rPr>
          <w:rFonts w:ascii="Times New Roman" w:hAnsi="Times New Roman" w:cs="Times New Roman"/>
          <w:color w:val="EE0000"/>
          <w:sz w:val="24"/>
          <w:szCs w:val="24"/>
        </w:rPr>
        <w:t>‐Kenan 2013)</w:t>
      </w:r>
      <w:r w:rsidR="00ED02EB" w:rsidRPr="00022F60">
        <w:rPr>
          <w:rFonts w:ascii="Times New Roman" w:eastAsia="Garamond" w:hAnsi="Times New Roman" w:cs="Times New Roman"/>
          <w:color w:val="EE0000"/>
          <w:sz w:val="24"/>
          <w:szCs w:val="24"/>
          <w14:ligatures w14:val="standard"/>
        </w:rPr>
        <w:t>.</w:t>
      </w:r>
    </w:p>
    <w:p w14:paraId="46AAD206" w14:textId="77777777" w:rsidR="00500C0B" w:rsidRPr="00022F60" w:rsidRDefault="00ED02EB">
      <w:pPr>
        <w:spacing w:after="0" w:line="480" w:lineRule="auto"/>
        <w:rPr>
          <w:rFonts w:ascii="Times New Roman" w:eastAsia="Garamond" w:hAnsi="Times New Roman" w:cs="Times New Roman"/>
          <w:color w:val="EE0000"/>
          <w:sz w:val="24"/>
          <w:szCs w:val="24"/>
          <w14:ligatures w14:val="standard"/>
        </w:rPr>
      </w:pPr>
      <w:r w:rsidRPr="00022F60">
        <w:rPr>
          <w:rFonts w:ascii="Times New Roman" w:eastAsia="Garamond" w:hAnsi="Times New Roman" w:cs="Times New Roman"/>
          <w:i/>
          <w:iCs/>
          <w:color w:val="EE0000"/>
          <w:sz w:val="24"/>
          <w:szCs w:val="24"/>
          <w14:ligatures w14:val="standard"/>
        </w:rPr>
        <w:t>Disclosure and State Oil and Gas Policies</w:t>
      </w:r>
    </w:p>
    <w:p w14:paraId="22480274" w14:textId="09044FF0" w:rsidR="00500C0B" w:rsidRDefault="00022F60">
      <w:pPr>
        <w:spacing w:after="0" w:line="480" w:lineRule="auto"/>
        <w:ind w:firstLine="720"/>
        <w:rPr>
          <w:rFonts w:ascii="Times New Roman" w:hAnsi="Times New Roman" w:cs="Times New Roman"/>
          <w:color w:val="EE0000"/>
          <w:sz w:val="24"/>
          <w:szCs w:val="24"/>
        </w:rPr>
      </w:pPr>
      <w:r w:rsidRPr="00022F60">
        <w:rPr>
          <w:rFonts w:ascii="Times New Roman" w:hAnsi="Times New Roman" w:cs="Times New Roman"/>
          <w:color w:val="EE0000"/>
          <w:sz w:val="24"/>
          <w:szCs w:val="24"/>
        </w:rPr>
        <w:t>Several scholars have utilized</w:t>
      </w:r>
      <w:r w:rsidR="00ED02EB" w:rsidRPr="00022F60">
        <w:rPr>
          <w:rFonts w:ascii="Times New Roman" w:hAnsi="Times New Roman" w:cs="Times New Roman"/>
          <w:color w:val="EE0000"/>
          <w:sz w:val="24"/>
          <w:szCs w:val="24"/>
        </w:rPr>
        <w:t xml:space="preserve"> the</w:t>
      </w:r>
      <w:r w:rsidR="003769A5" w:rsidRPr="00022F60">
        <w:rPr>
          <w:rFonts w:ascii="Times New Roman" w:hAnsi="Times New Roman" w:cs="Times New Roman"/>
          <w:color w:val="EE0000"/>
          <w:sz w:val="24"/>
          <w:szCs w:val="24"/>
        </w:rPr>
        <w:t xml:space="preserve"> disclosure</w:t>
      </w:r>
      <w:r w:rsidR="00ED02EB" w:rsidRPr="00022F60">
        <w:rPr>
          <w:rFonts w:ascii="Times New Roman" w:hAnsi="Times New Roman" w:cs="Times New Roman"/>
          <w:color w:val="EE0000"/>
          <w:sz w:val="24"/>
          <w:szCs w:val="24"/>
        </w:rPr>
        <w:t xml:space="preserve"> literature </w:t>
      </w:r>
      <w:r w:rsidRPr="00022F60">
        <w:rPr>
          <w:rFonts w:ascii="Times New Roman" w:hAnsi="Times New Roman" w:cs="Times New Roman"/>
          <w:color w:val="EE0000"/>
          <w:sz w:val="24"/>
          <w:szCs w:val="24"/>
        </w:rPr>
        <w:t>to explore</w:t>
      </w:r>
      <w:r w:rsidR="00ED02EB" w:rsidRPr="00022F60">
        <w:rPr>
          <w:rFonts w:ascii="Times New Roman" w:hAnsi="Times New Roman" w:cs="Times New Roman"/>
          <w:color w:val="EE0000"/>
          <w:sz w:val="24"/>
          <w:szCs w:val="24"/>
        </w:rPr>
        <w:t xml:space="preserve"> oil and gas </w:t>
      </w:r>
      <w:r w:rsidRPr="00022F60">
        <w:rPr>
          <w:rFonts w:ascii="Times New Roman" w:hAnsi="Times New Roman" w:cs="Times New Roman"/>
          <w:color w:val="EE0000"/>
          <w:sz w:val="24"/>
          <w:szCs w:val="24"/>
        </w:rPr>
        <w:t>management</w:t>
      </w:r>
      <w:r w:rsidR="00ED02EB" w:rsidRPr="00022F60">
        <w:rPr>
          <w:rFonts w:ascii="Times New Roman" w:hAnsi="Times New Roman" w:cs="Times New Roman"/>
          <w:color w:val="EE0000"/>
          <w:sz w:val="24"/>
          <w:szCs w:val="24"/>
        </w:rPr>
        <w:t xml:space="preserve"> (Fisk 2013; Rabe and Borick 2013; Fisk and Good 2019; Weible, Heikkila, and Carter 2017). Heikkila et al. (2014)</w:t>
      </w:r>
      <w:r w:rsidRPr="00022F60">
        <w:rPr>
          <w:rFonts w:ascii="Times New Roman" w:hAnsi="Times New Roman" w:cs="Times New Roman"/>
          <w:color w:val="EE0000"/>
          <w:sz w:val="24"/>
          <w:szCs w:val="24"/>
        </w:rPr>
        <w:t>, for example, found that industry learning as well as the support of a policy entrepreneur</w:t>
      </w:r>
      <w:r w:rsidR="00ED02EB" w:rsidRPr="00022F60">
        <w:rPr>
          <w:rFonts w:ascii="Times New Roman" w:hAnsi="Times New Roman" w:cs="Times New Roman"/>
          <w:color w:val="EE0000"/>
          <w:sz w:val="24"/>
          <w:szCs w:val="24"/>
        </w:rPr>
        <w:t xml:space="preserve"> </w:t>
      </w:r>
      <w:r w:rsidRPr="00022F60">
        <w:rPr>
          <w:rFonts w:ascii="Times New Roman" w:hAnsi="Times New Roman" w:cs="Times New Roman"/>
          <w:color w:val="EE0000"/>
          <w:sz w:val="24"/>
          <w:szCs w:val="24"/>
        </w:rPr>
        <w:t>increased the likelihood that a state would adopt more stringent</w:t>
      </w:r>
      <w:r w:rsidR="002B2D85" w:rsidRPr="00022F60">
        <w:rPr>
          <w:rFonts w:ascii="Times New Roman" w:hAnsi="Times New Roman" w:cs="Times New Roman"/>
          <w:color w:val="EE0000"/>
          <w:sz w:val="24"/>
          <w:szCs w:val="24"/>
        </w:rPr>
        <w:t xml:space="preserve"> </w:t>
      </w:r>
      <w:r w:rsidR="00ED02EB" w:rsidRPr="00022F60">
        <w:rPr>
          <w:rFonts w:ascii="Times New Roman" w:hAnsi="Times New Roman" w:cs="Times New Roman"/>
          <w:color w:val="EE0000"/>
          <w:sz w:val="24"/>
          <w:szCs w:val="24"/>
        </w:rPr>
        <w:t>disclosure</w:t>
      </w:r>
      <w:r w:rsidRPr="00022F60">
        <w:rPr>
          <w:rFonts w:ascii="Times New Roman" w:hAnsi="Times New Roman" w:cs="Times New Roman"/>
          <w:color w:val="EE0000"/>
          <w:sz w:val="24"/>
          <w:szCs w:val="24"/>
        </w:rPr>
        <w:t xml:space="preserve"> policies</w:t>
      </w:r>
      <w:r w:rsidR="00ED02EB" w:rsidRPr="00022F60">
        <w:rPr>
          <w:rFonts w:ascii="Times New Roman" w:hAnsi="Times New Roman" w:cs="Times New Roman"/>
          <w:color w:val="EE0000"/>
          <w:sz w:val="24"/>
          <w:szCs w:val="24"/>
        </w:rPr>
        <w:t xml:space="preserve">. Fisk (2013) observed </w:t>
      </w:r>
      <w:r w:rsidRPr="00022F60">
        <w:rPr>
          <w:rFonts w:ascii="Times New Roman" w:hAnsi="Times New Roman" w:cs="Times New Roman"/>
          <w:color w:val="EE0000"/>
          <w:sz w:val="24"/>
          <w:szCs w:val="24"/>
        </w:rPr>
        <w:t xml:space="preserve">that </w:t>
      </w:r>
      <w:r w:rsidR="00ED02EB" w:rsidRPr="00022F60">
        <w:rPr>
          <w:rFonts w:ascii="Times New Roman" w:hAnsi="Times New Roman" w:cs="Times New Roman"/>
          <w:color w:val="EE0000"/>
          <w:sz w:val="24"/>
          <w:szCs w:val="24"/>
        </w:rPr>
        <w:t xml:space="preserve">liberal states </w:t>
      </w:r>
      <w:r w:rsidRPr="00022F60">
        <w:rPr>
          <w:rFonts w:ascii="Times New Roman" w:hAnsi="Times New Roman" w:cs="Times New Roman"/>
          <w:color w:val="EE0000"/>
          <w:sz w:val="24"/>
          <w:szCs w:val="24"/>
        </w:rPr>
        <w:t>were more likely to promulgate</w:t>
      </w:r>
      <w:r w:rsidR="00ED02EB" w:rsidRPr="00022F60">
        <w:rPr>
          <w:rFonts w:ascii="Times New Roman" w:hAnsi="Times New Roman" w:cs="Times New Roman"/>
          <w:color w:val="EE0000"/>
          <w:sz w:val="24"/>
          <w:szCs w:val="24"/>
        </w:rPr>
        <w:t xml:space="preserve"> disclosure policies. </w:t>
      </w:r>
      <w:r w:rsidRPr="00022F60">
        <w:rPr>
          <w:rFonts w:ascii="Times New Roman" w:hAnsi="Times New Roman" w:cs="Times New Roman"/>
          <w:color w:val="EE0000"/>
          <w:sz w:val="24"/>
          <w:szCs w:val="24"/>
        </w:rPr>
        <w:t>Six years later</w:t>
      </w:r>
      <w:r w:rsidR="002B2D85" w:rsidRPr="00022F60">
        <w:rPr>
          <w:rFonts w:ascii="Times New Roman" w:hAnsi="Times New Roman" w:cs="Times New Roman"/>
          <w:color w:val="EE0000"/>
          <w:sz w:val="24"/>
          <w:szCs w:val="24"/>
        </w:rPr>
        <w:t xml:space="preserve">, </w:t>
      </w:r>
      <w:r w:rsidR="00ED02EB" w:rsidRPr="00022F60">
        <w:rPr>
          <w:rFonts w:ascii="Times New Roman" w:hAnsi="Times New Roman" w:cs="Times New Roman"/>
          <w:color w:val="EE0000"/>
          <w:sz w:val="24"/>
          <w:szCs w:val="24"/>
        </w:rPr>
        <w:t xml:space="preserve">Fisk and Good (2019) </w:t>
      </w:r>
      <w:r w:rsidRPr="00022F60">
        <w:rPr>
          <w:rFonts w:ascii="Times New Roman" w:hAnsi="Times New Roman" w:cs="Times New Roman"/>
          <w:color w:val="EE0000"/>
          <w:sz w:val="24"/>
          <w:szCs w:val="24"/>
        </w:rPr>
        <w:t>expanded the scope of oil and gas disclosure policies to</w:t>
      </w:r>
      <w:r w:rsidR="00ED02EB" w:rsidRPr="00022F60">
        <w:rPr>
          <w:rFonts w:ascii="Times New Roman" w:hAnsi="Times New Roman" w:cs="Times New Roman"/>
          <w:color w:val="EE0000"/>
          <w:sz w:val="24"/>
          <w:szCs w:val="24"/>
        </w:rPr>
        <w:t xml:space="preserve"> pre-drilling disclosure notification, chemical disclosure, and the allowance of trade secrets. </w:t>
      </w:r>
      <w:r w:rsidRPr="00022F60">
        <w:rPr>
          <w:rFonts w:ascii="Times New Roman" w:hAnsi="Times New Roman" w:cs="Times New Roman"/>
          <w:color w:val="EE0000"/>
          <w:sz w:val="24"/>
          <w:szCs w:val="24"/>
        </w:rPr>
        <w:t xml:space="preserve">There again, they found mixed results, albeit, with linkages to state political characteristics: </w:t>
      </w:r>
      <w:r w:rsidR="003769A5" w:rsidRPr="00022F60">
        <w:rPr>
          <w:rFonts w:ascii="Times New Roman" w:hAnsi="Times New Roman" w:cs="Times New Roman"/>
          <w:color w:val="EE0000"/>
          <w:sz w:val="24"/>
          <w:szCs w:val="24"/>
        </w:rPr>
        <w:t>p</w:t>
      </w:r>
      <w:r w:rsidR="00ED02EB" w:rsidRPr="00022F60">
        <w:rPr>
          <w:rFonts w:ascii="Times New Roman" w:hAnsi="Times New Roman" w:cs="Times New Roman"/>
          <w:color w:val="EE0000"/>
          <w:sz w:val="24"/>
          <w:szCs w:val="24"/>
        </w:rPr>
        <w:t xml:space="preserve">re-drilling notification </w:t>
      </w:r>
      <w:r w:rsidRPr="00022F60">
        <w:rPr>
          <w:rFonts w:ascii="Times New Roman" w:hAnsi="Times New Roman" w:cs="Times New Roman"/>
          <w:color w:val="EE0000"/>
          <w:sz w:val="24"/>
          <w:szCs w:val="24"/>
        </w:rPr>
        <w:t>was</w:t>
      </w:r>
      <w:r w:rsidR="00ED02EB" w:rsidRPr="00022F60">
        <w:rPr>
          <w:rFonts w:ascii="Times New Roman" w:hAnsi="Times New Roman" w:cs="Times New Roman"/>
          <w:color w:val="EE0000"/>
          <w:sz w:val="24"/>
          <w:szCs w:val="24"/>
        </w:rPr>
        <w:t xml:space="preserve"> </w:t>
      </w:r>
      <w:r w:rsidRPr="00022F60">
        <w:rPr>
          <w:rFonts w:ascii="Times New Roman" w:hAnsi="Times New Roman" w:cs="Times New Roman"/>
          <w:color w:val="EE0000"/>
          <w:sz w:val="24"/>
          <w:szCs w:val="24"/>
        </w:rPr>
        <w:t>linked</w:t>
      </w:r>
      <w:r w:rsidR="00ED02EB" w:rsidRPr="00022F60">
        <w:rPr>
          <w:rFonts w:ascii="Times New Roman" w:hAnsi="Times New Roman" w:cs="Times New Roman"/>
          <w:color w:val="EE0000"/>
          <w:sz w:val="24"/>
          <w:szCs w:val="24"/>
        </w:rPr>
        <w:t xml:space="preserve"> </w:t>
      </w:r>
      <w:r w:rsidRPr="00022F60">
        <w:rPr>
          <w:rFonts w:ascii="Times New Roman" w:hAnsi="Times New Roman" w:cs="Times New Roman"/>
          <w:color w:val="EE0000"/>
          <w:sz w:val="24"/>
          <w:szCs w:val="24"/>
        </w:rPr>
        <w:t xml:space="preserve">to </w:t>
      </w:r>
      <w:r w:rsidR="00ED02EB" w:rsidRPr="00022F60">
        <w:rPr>
          <w:rFonts w:ascii="Times New Roman" w:hAnsi="Times New Roman" w:cs="Times New Roman"/>
          <w:color w:val="EE0000"/>
          <w:sz w:val="24"/>
          <w:szCs w:val="24"/>
        </w:rPr>
        <w:t>education</w:t>
      </w:r>
      <w:r w:rsidRPr="00022F60">
        <w:rPr>
          <w:rFonts w:ascii="Times New Roman" w:hAnsi="Times New Roman" w:cs="Times New Roman"/>
          <w:color w:val="EE0000"/>
          <w:sz w:val="24"/>
          <w:szCs w:val="24"/>
        </w:rPr>
        <w:t>al levels</w:t>
      </w:r>
      <w:r w:rsidR="00ED02EB" w:rsidRPr="00022F60">
        <w:rPr>
          <w:rFonts w:ascii="Times New Roman" w:hAnsi="Times New Roman" w:cs="Times New Roman"/>
          <w:color w:val="EE0000"/>
          <w:sz w:val="24"/>
          <w:szCs w:val="24"/>
        </w:rPr>
        <w:t xml:space="preserve"> and state GD</w:t>
      </w:r>
      <w:r w:rsidRPr="00022F60">
        <w:rPr>
          <w:rFonts w:ascii="Times New Roman" w:hAnsi="Times New Roman" w:cs="Times New Roman"/>
          <w:color w:val="EE0000"/>
          <w:sz w:val="24"/>
          <w:szCs w:val="24"/>
        </w:rPr>
        <w:t>P and</w:t>
      </w:r>
      <w:r w:rsidR="00ED02EB" w:rsidRPr="00022F60">
        <w:rPr>
          <w:rFonts w:ascii="Times New Roman" w:hAnsi="Times New Roman" w:cs="Times New Roman"/>
          <w:color w:val="EE0000"/>
          <w:sz w:val="24"/>
          <w:szCs w:val="24"/>
        </w:rPr>
        <w:t xml:space="preserve"> chemical disclosure </w:t>
      </w:r>
      <w:r w:rsidR="002B2D85" w:rsidRPr="00022F60">
        <w:rPr>
          <w:rFonts w:ascii="Times New Roman" w:hAnsi="Times New Roman" w:cs="Times New Roman"/>
          <w:color w:val="EE0000"/>
          <w:sz w:val="24"/>
          <w:szCs w:val="24"/>
        </w:rPr>
        <w:t>policies</w:t>
      </w:r>
      <w:r w:rsidRPr="00022F60">
        <w:rPr>
          <w:rFonts w:ascii="Times New Roman" w:hAnsi="Times New Roman" w:cs="Times New Roman"/>
          <w:color w:val="EE0000"/>
          <w:sz w:val="24"/>
          <w:szCs w:val="24"/>
        </w:rPr>
        <w:t xml:space="preserve"> tied to </w:t>
      </w:r>
      <w:r w:rsidR="00ED02EB" w:rsidRPr="00022F60">
        <w:rPr>
          <w:rFonts w:ascii="Times New Roman" w:hAnsi="Times New Roman" w:cs="Times New Roman"/>
          <w:color w:val="EE0000"/>
          <w:sz w:val="24"/>
          <w:szCs w:val="24"/>
        </w:rPr>
        <w:t xml:space="preserve">industry’s </w:t>
      </w:r>
      <w:r w:rsidR="003769A5" w:rsidRPr="00022F60">
        <w:rPr>
          <w:rFonts w:ascii="Times New Roman" w:hAnsi="Times New Roman" w:cs="Times New Roman"/>
          <w:color w:val="EE0000"/>
          <w:sz w:val="24"/>
          <w:szCs w:val="24"/>
        </w:rPr>
        <w:t xml:space="preserve">economic </w:t>
      </w:r>
      <w:r w:rsidRPr="00022F60">
        <w:rPr>
          <w:rFonts w:ascii="Times New Roman" w:hAnsi="Times New Roman" w:cs="Times New Roman"/>
          <w:color w:val="EE0000"/>
          <w:sz w:val="24"/>
          <w:szCs w:val="24"/>
        </w:rPr>
        <w:t>clout</w:t>
      </w:r>
      <w:r w:rsidR="00ED02EB" w:rsidRPr="00022F60">
        <w:rPr>
          <w:rFonts w:ascii="Times New Roman" w:hAnsi="Times New Roman" w:cs="Times New Roman"/>
          <w:color w:val="EE0000"/>
          <w:sz w:val="24"/>
          <w:szCs w:val="24"/>
        </w:rPr>
        <w:t xml:space="preserve"> </w:t>
      </w:r>
      <w:r w:rsidRPr="00022F60">
        <w:rPr>
          <w:rFonts w:ascii="Times New Roman" w:hAnsi="Times New Roman" w:cs="Times New Roman"/>
          <w:color w:val="EE0000"/>
          <w:sz w:val="24"/>
          <w:szCs w:val="24"/>
        </w:rPr>
        <w:t>in</w:t>
      </w:r>
      <w:r w:rsidR="00ED02EB" w:rsidRPr="00022F60">
        <w:rPr>
          <w:rFonts w:ascii="Times New Roman" w:hAnsi="Times New Roman" w:cs="Times New Roman"/>
          <w:color w:val="EE0000"/>
          <w:sz w:val="24"/>
          <w:szCs w:val="24"/>
        </w:rPr>
        <w:t xml:space="preserve"> the state. </w:t>
      </w:r>
      <w:r w:rsidRPr="00022F60">
        <w:rPr>
          <w:rFonts w:ascii="Times New Roman" w:hAnsi="Times New Roman" w:cs="Times New Roman"/>
          <w:color w:val="EE0000"/>
          <w:sz w:val="24"/>
          <w:szCs w:val="24"/>
        </w:rPr>
        <w:t xml:space="preserve">Surprisingly, they failed to find any significant associations with the presence of trade secrets. </w:t>
      </w:r>
      <w:r w:rsidR="00ED02EB" w:rsidRPr="00022F60">
        <w:rPr>
          <w:rFonts w:ascii="Times New Roman" w:hAnsi="Times New Roman" w:cs="Times New Roman"/>
          <w:color w:val="EE0000"/>
          <w:sz w:val="24"/>
          <w:szCs w:val="24"/>
        </w:rPr>
        <w:t xml:space="preserve">Considering these findings, we offer a third hypothesis: </w:t>
      </w:r>
    </w:p>
    <w:p w14:paraId="003A7201" w14:textId="77777777" w:rsidR="00793131" w:rsidRPr="00793131" w:rsidRDefault="00793131" w:rsidP="00793131">
      <w:pPr>
        <w:spacing w:line="480" w:lineRule="auto"/>
        <w:rPr>
          <w:rFonts w:ascii="Times New Roman" w:hAnsi="Times New Roman" w:cs="Times New Roman"/>
          <w:b/>
          <w:bCs/>
          <w:color w:val="0F9ED5" w:themeColor="accent4"/>
          <w:sz w:val="24"/>
          <w:szCs w:val="24"/>
        </w:rPr>
      </w:pPr>
      <w:r w:rsidRPr="00793131">
        <w:rPr>
          <w:rFonts w:ascii="Times New Roman" w:hAnsi="Times New Roman" w:cs="Times New Roman"/>
          <w:b/>
          <w:bCs/>
          <w:color w:val="0F9ED5" w:themeColor="accent4"/>
          <w:sz w:val="24"/>
          <w:szCs w:val="24"/>
        </w:rPr>
        <w:t>Performance across Districts</w:t>
      </w:r>
    </w:p>
    <w:p w14:paraId="5D343B12" w14:textId="7560B6F1" w:rsidR="00793131" w:rsidRPr="00793131" w:rsidRDefault="00793131" w:rsidP="00793131">
      <w:pPr>
        <w:spacing w:line="480" w:lineRule="auto"/>
        <w:ind w:firstLine="720"/>
        <w:rPr>
          <w:rFonts w:ascii="Times New Roman" w:hAnsi="Times New Roman" w:cs="Times New Roman"/>
          <w:color w:val="0F9ED5" w:themeColor="accent4"/>
          <w:sz w:val="24"/>
          <w:szCs w:val="24"/>
        </w:rPr>
      </w:pPr>
      <w:r w:rsidRPr="00793131">
        <w:rPr>
          <w:rFonts w:ascii="Times New Roman" w:hAnsi="Times New Roman" w:cs="Times New Roman"/>
          <w:color w:val="0F9ED5" w:themeColor="accent4"/>
          <w:sz w:val="24"/>
          <w:szCs w:val="24"/>
        </w:rPr>
        <w:t xml:space="preserve">The existing public administration literature indicates that context plays an important role in determining the performance of an organization. O’Toole and Meier argue that the “context to the management and performance relationship” is a key element in understanding how organizations behave (2015, 238). One such piece of context includes the “institutional structures and regimes” that characterize a particular organization (O’Toole and Meier 2015, 238). In </w:t>
      </w:r>
      <w:r w:rsidRPr="00793131">
        <w:rPr>
          <w:rFonts w:ascii="Times New Roman" w:hAnsi="Times New Roman" w:cs="Times New Roman"/>
          <w:color w:val="0F9ED5" w:themeColor="accent4"/>
          <w:sz w:val="24"/>
          <w:szCs w:val="24"/>
        </w:rPr>
        <w:lastRenderedPageBreak/>
        <w:t>studies of regional governance within the European Union, researchers have noted that subdivisions of organizations that wield legitimate decision-making authority might perform very differently from other subdivisions within the same organization (</w:t>
      </w:r>
      <w:proofErr w:type="spellStart"/>
      <w:r w:rsidRPr="00793131">
        <w:rPr>
          <w:rFonts w:ascii="Times New Roman" w:hAnsi="Times New Roman" w:cs="Times New Roman"/>
          <w:color w:val="0F9ED5" w:themeColor="accent4"/>
          <w:sz w:val="24"/>
          <w:szCs w:val="24"/>
        </w:rPr>
        <w:t>Aivazidou</w:t>
      </w:r>
      <w:proofErr w:type="spellEnd"/>
      <w:r w:rsidRPr="00793131">
        <w:rPr>
          <w:rFonts w:ascii="Times New Roman" w:hAnsi="Times New Roman" w:cs="Times New Roman"/>
          <w:color w:val="0F9ED5" w:themeColor="accent4"/>
          <w:sz w:val="24"/>
          <w:szCs w:val="24"/>
        </w:rPr>
        <w:t xml:space="preserve"> et al. 2020; Mendez and Bachtler 2024). That said, the existing literature does not yet include robust discussion of the subdivisions that often exist within organizations’ structural contexts (Mendez and Bachtler 2024). </w:t>
      </w:r>
    </w:p>
    <w:p w14:paraId="37CB0FE9" w14:textId="5DE49A5A" w:rsidR="00793131" w:rsidRPr="00793131" w:rsidRDefault="00793131" w:rsidP="00793131">
      <w:pPr>
        <w:spacing w:line="480" w:lineRule="auto"/>
        <w:ind w:firstLine="720"/>
        <w:rPr>
          <w:rFonts w:ascii="Times New Roman" w:hAnsi="Times New Roman" w:cs="Times New Roman"/>
          <w:color w:val="0F9ED5" w:themeColor="accent4"/>
          <w:sz w:val="24"/>
          <w:szCs w:val="24"/>
        </w:rPr>
      </w:pPr>
      <w:r w:rsidRPr="00793131">
        <w:rPr>
          <w:rFonts w:ascii="Times New Roman" w:hAnsi="Times New Roman" w:cs="Times New Roman"/>
          <w:color w:val="0F9ED5" w:themeColor="accent4"/>
          <w:sz w:val="24"/>
          <w:szCs w:val="24"/>
        </w:rPr>
        <w:t xml:space="preserve">O’Toole and Meier identify “the availability of needed resources” as a piece of context that can reveal relationships between management and performance (2015, 247).  In particular, O’Toole and Meier argue the importance of an organization’s “social capital” when implementing programs and policies (2015, 428; see also: Spillane and Thompson 1997). When organizations have stronger social connections with the communities in which they operate, they are likely to benefit from stronger feelings of efficacy, bolstered cooperation with citizens, and higher levels of public trust (O’Toole and Meier 2015, 248). For example, the rationale behind the subdivided structures in EU governance was that regional and local subdivisions could more readily access and accommodate the local communities (Mendez and Bachtler 2024, 694). </w:t>
      </w:r>
    </w:p>
    <w:p w14:paraId="042E34DD" w14:textId="4E91AA6C" w:rsidR="00793131" w:rsidRPr="00793131" w:rsidRDefault="00793131" w:rsidP="00793131">
      <w:pPr>
        <w:spacing w:line="480" w:lineRule="auto"/>
        <w:ind w:firstLine="720"/>
        <w:rPr>
          <w:rFonts w:ascii="Times New Roman" w:hAnsi="Times New Roman" w:cs="Times New Roman"/>
          <w:color w:val="0F9ED5" w:themeColor="accent4"/>
          <w:sz w:val="24"/>
          <w:szCs w:val="24"/>
        </w:rPr>
      </w:pPr>
      <w:r w:rsidRPr="00793131">
        <w:rPr>
          <w:rFonts w:ascii="Times New Roman" w:hAnsi="Times New Roman" w:cs="Times New Roman"/>
          <w:color w:val="0F9ED5" w:themeColor="accent4"/>
          <w:sz w:val="24"/>
          <w:szCs w:val="24"/>
        </w:rPr>
        <w:t xml:space="preserve">The degree by which an organization is hierarchical and/or centralized can also impact performance. Given that decentralized organizations tend to grant their employees higher levels of discretion (see: Lipsky 1980), understanding the hierarchical structure of an organization can provide insights into how responsive personnel might be to citizen and community concerns (O’Toole and Meier 2015, 250). For example, in the highly decentralized context of oil and gas well inspections in the State of Montana, legislative auditors found that individual inspectors had vastly different priorities in determining which cites needed to be inspected (State of Montana 2011).  </w:t>
      </w:r>
    </w:p>
    <w:p w14:paraId="7BAEC63E" w14:textId="77777777" w:rsidR="00793131" w:rsidRPr="00793131" w:rsidRDefault="00793131" w:rsidP="00793131">
      <w:pPr>
        <w:spacing w:line="480" w:lineRule="auto"/>
        <w:rPr>
          <w:rFonts w:ascii="Times New Roman" w:hAnsi="Times New Roman" w:cs="Times New Roman"/>
          <w:b/>
          <w:bCs/>
          <w:color w:val="0F9ED5" w:themeColor="accent4"/>
          <w:sz w:val="24"/>
          <w:szCs w:val="24"/>
        </w:rPr>
      </w:pPr>
      <w:r w:rsidRPr="00793131">
        <w:rPr>
          <w:rFonts w:ascii="Times New Roman" w:hAnsi="Times New Roman" w:cs="Times New Roman"/>
          <w:b/>
          <w:bCs/>
          <w:color w:val="0F9ED5" w:themeColor="accent4"/>
          <w:sz w:val="24"/>
          <w:szCs w:val="24"/>
        </w:rPr>
        <w:lastRenderedPageBreak/>
        <w:t>Texas RRC Districts</w:t>
      </w:r>
    </w:p>
    <w:p w14:paraId="7AF82F0F" w14:textId="55A60D39" w:rsidR="00793131" w:rsidRPr="00793131" w:rsidRDefault="00793131" w:rsidP="00793131">
      <w:pPr>
        <w:spacing w:line="480" w:lineRule="auto"/>
        <w:rPr>
          <w:rFonts w:ascii="Times New Roman" w:hAnsi="Times New Roman" w:cs="Times New Roman"/>
          <w:color w:val="0F9ED5" w:themeColor="accent4"/>
          <w:sz w:val="24"/>
          <w:szCs w:val="24"/>
        </w:rPr>
      </w:pPr>
      <w:r w:rsidRPr="00793131">
        <w:rPr>
          <w:rFonts w:ascii="Times New Roman" w:hAnsi="Times New Roman" w:cs="Times New Roman"/>
          <w:b/>
          <w:bCs/>
          <w:color w:val="0F9ED5" w:themeColor="accent4"/>
          <w:sz w:val="24"/>
          <w:szCs w:val="24"/>
        </w:rPr>
        <w:tab/>
      </w:r>
      <w:r w:rsidRPr="00793131">
        <w:rPr>
          <w:rFonts w:ascii="Times New Roman" w:hAnsi="Times New Roman" w:cs="Times New Roman"/>
          <w:color w:val="0F9ED5" w:themeColor="accent4"/>
          <w:sz w:val="24"/>
          <w:szCs w:val="24"/>
        </w:rPr>
        <w:t xml:space="preserve">The Texas Railroad Commission has structured its oil and gas field inspection apparatus into a relatively decentralized system. While the commission is ultimately run by three commissioners (RRC 2025), field inspections are conducted by approximately 185 field inspectors who report to ten different Oil and Gas district offices (RRC 2023, 7). The enforcement plan published for FY 2024 notes that those field inspectors “work in the communities where they live,” (RRC 2023, 7) suggesting that the commission recognizes the potential benefits of representative bureaucracy.  The commission also recognizes that inspectors must be selective in which cites they inspect, given the vast number of oil and gas wells across the state (RRC 2023, 8). While the commission does provide a risk-based set of guidelines for how inspectors might set priorities, those guidelines include recognition of “area knowledge” and “unique District Office concerns” (RRC 2023, 22), thus formally acknowledging the discretion held by individual inspectors and district-level management. </w:t>
      </w:r>
    </w:p>
    <w:p w14:paraId="3BCBDF37" w14:textId="77777777" w:rsidR="00500C0B" w:rsidRPr="00CC4E81" w:rsidRDefault="00ED02EB">
      <w:pPr>
        <w:spacing w:after="0" w:line="480" w:lineRule="auto"/>
        <w:rPr>
          <w:rFonts w:ascii="Times New Roman" w:hAnsi="Times New Roman" w:cs="Times New Roman"/>
          <w:b/>
          <w:bCs/>
          <w:sz w:val="24"/>
          <w:szCs w:val="24"/>
          <w14:ligatures w14:val="standard"/>
        </w:rPr>
      </w:pPr>
      <w:r w:rsidRPr="00CC4E81">
        <w:rPr>
          <w:rFonts w:ascii="Times New Roman" w:hAnsi="Times New Roman" w:cs="Times New Roman"/>
          <w:b/>
          <w:bCs/>
          <w:sz w:val="24"/>
          <w:szCs w:val="24"/>
          <w14:ligatures w14:val="standard"/>
        </w:rPr>
        <w:t>Methodology</w:t>
      </w:r>
    </w:p>
    <w:p w14:paraId="2F28A616" w14:textId="77777777" w:rsidR="004A4E2C" w:rsidRDefault="004A4E2C">
      <w:pPr>
        <w:spacing w:after="0" w:line="240" w:lineRule="auto"/>
        <w:rPr>
          <w:rFonts w:ascii="Times New Roman" w:eastAsia="Garamond" w:hAnsi="Times New Roman" w:cs="Times New Roman"/>
          <w:b/>
          <w:bCs/>
          <w:sz w:val="24"/>
          <w:szCs w:val="24"/>
          <w14:ligatures w14:val="standard"/>
        </w:rPr>
      </w:pPr>
      <w:r>
        <w:rPr>
          <w:rFonts w:ascii="Times New Roman" w:eastAsia="Garamond" w:hAnsi="Times New Roman" w:cs="Times New Roman"/>
          <w:b/>
          <w:bCs/>
          <w:sz w:val="24"/>
          <w:szCs w:val="24"/>
          <w14:ligatures w14:val="standard"/>
        </w:rPr>
        <w:br w:type="page"/>
      </w:r>
    </w:p>
    <w:p w14:paraId="1CF76832" w14:textId="014780E6" w:rsidR="00500C0B" w:rsidRPr="00CC4E81" w:rsidRDefault="00ED02EB" w:rsidP="00B80B38">
      <w:pPr>
        <w:spacing w:after="0" w:line="480" w:lineRule="auto"/>
        <w:rPr>
          <w:rFonts w:ascii="Times New Roman" w:eastAsia="Garamond" w:hAnsi="Times New Roman" w:cs="Times New Roman"/>
          <w:b/>
          <w:bCs/>
          <w:sz w:val="24"/>
          <w:szCs w:val="24"/>
          <w14:ligatures w14:val="standard"/>
        </w:rPr>
      </w:pPr>
      <w:r w:rsidRPr="00CC4E81">
        <w:rPr>
          <w:rFonts w:ascii="Times New Roman" w:eastAsia="Garamond" w:hAnsi="Times New Roman" w:cs="Times New Roman"/>
          <w:b/>
          <w:bCs/>
          <w:sz w:val="24"/>
          <w:szCs w:val="24"/>
          <w14:ligatures w14:val="standard"/>
        </w:rPr>
        <w:lastRenderedPageBreak/>
        <w:t>Citations</w:t>
      </w:r>
    </w:p>
    <w:p w14:paraId="4D9D453B" w14:textId="77777777" w:rsidR="003B3530"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Abel, Troy D., Mark Stephan, and Michael E. Kraft. 2007. “Environmental Information Disclosure and Risk Reduction among the States.” </w:t>
      </w:r>
      <w:r w:rsidRPr="00CC4E81">
        <w:rPr>
          <w:rFonts w:ascii="Times New Roman" w:hAnsi="Times New Roman" w:cs="Times New Roman"/>
          <w:i/>
          <w:iCs/>
          <w:sz w:val="24"/>
          <w:szCs w:val="24"/>
        </w:rPr>
        <w:t>State and Local Government Review</w:t>
      </w:r>
      <w:r w:rsidRPr="00CC4E81">
        <w:rPr>
          <w:rFonts w:ascii="Times New Roman" w:hAnsi="Times New Roman" w:cs="Times New Roman"/>
          <w:sz w:val="24"/>
          <w:szCs w:val="24"/>
        </w:rPr>
        <w:t xml:space="preserve"> 39 (3): 153–65. </w:t>
      </w:r>
      <w:hyperlink r:id="rId8" w:history="1">
        <w:r w:rsidRPr="00F22237">
          <w:rPr>
            <w:rStyle w:val="Hyperlink"/>
            <w:rFonts w:ascii="Times New Roman" w:hAnsi="Times New Roman" w:cs="Times New Roman"/>
            <w:sz w:val="24"/>
            <w:szCs w:val="24"/>
          </w:rPr>
          <w:t>https://doi.org/10.1177/0160323X0703900304</w:t>
        </w:r>
      </w:hyperlink>
      <w:r w:rsidRPr="00CC4E81">
        <w:rPr>
          <w:rFonts w:ascii="Times New Roman" w:hAnsi="Times New Roman" w:cs="Times New Roman"/>
          <w:sz w:val="24"/>
          <w:szCs w:val="24"/>
        </w:rPr>
        <w:t>.</w:t>
      </w:r>
      <w:r>
        <w:rPr>
          <w:rFonts w:ascii="Times New Roman" w:hAnsi="Times New Roman" w:cs="Times New Roman"/>
          <w:sz w:val="24"/>
          <w:szCs w:val="24"/>
        </w:rPr>
        <w:t xml:space="preserve"> </w:t>
      </w:r>
    </w:p>
    <w:p w14:paraId="6C6B1B2F" w14:textId="626EBEDE" w:rsidR="003B3530" w:rsidRPr="00C8250E" w:rsidRDefault="003B3530" w:rsidP="003B3530">
      <w:pPr>
        <w:pStyle w:val="Bibliography"/>
        <w:spacing w:after="120"/>
        <w:rPr>
          <w:rFonts w:ascii="Times New Roman" w:hAnsi="Times New Roman" w:cs="Times New Roman"/>
          <w:sz w:val="24"/>
          <w:szCs w:val="24"/>
        </w:rPr>
      </w:pPr>
      <w:proofErr w:type="spellStart"/>
      <w:r w:rsidRPr="00C8250E">
        <w:rPr>
          <w:rFonts w:ascii="Times New Roman" w:hAnsi="Times New Roman" w:cs="Times New Roman"/>
          <w:sz w:val="24"/>
          <w:szCs w:val="24"/>
        </w:rPr>
        <w:t>Aivazidou</w:t>
      </w:r>
      <w:proofErr w:type="spellEnd"/>
      <w:r w:rsidRPr="00C8250E">
        <w:rPr>
          <w:rFonts w:ascii="Times New Roman" w:hAnsi="Times New Roman" w:cs="Times New Roman"/>
          <w:sz w:val="24"/>
          <w:szCs w:val="24"/>
        </w:rPr>
        <w:t>, Eirini, Giovanni Cunico, and Edoardo Mollona. 2020. “Beyond the EU Structural Funds’ Absorption Rate: How Do Regions Really Perform?” Economies 8 (3): 55. https://doi.org/10.3390/economies8030055.</w:t>
      </w:r>
    </w:p>
    <w:p w14:paraId="63FEC465"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Amin, Alisha, David P. Adams, Jonathan M. Fisk, and Adam F. Mayer. 2025. “Plugged in? Assessing the Distribution of Orphaned Wells.” </w:t>
      </w:r>
      <w:r w:rsidRPr="00CC4E81">
        <w:rPr>
          <w:rFonts w:ascii="Times New Roman" w:hAnsi="Times New Roman" w:cs="Times New Roman"/>
          <w:i/>
          <w:iCs/>
          <w:sz w:val="24"/>
          <w:szCs w:val="24"/>
        </w:rPr>
        <w:t>Journal of Environmental Policy &amp; Planning</w:t>
      </w:r>
      <w:r w:rsidRPr="00CC4E81">
        <w:rPr>
          <w:rFonts w:ascii="Times New Roman" w:hAnsi="Times New Roman" w:cs="Times New Roman"/>
          <w:sz w:val="24"/>
          <w:szCs w:val="24"/>
        </w:rPr>
        <w:t>, March, 1–14. https://doi.org/10.1080/1523908X.2025.2480289.</w:t>
      </w:r>
    </w:p>
    <w:p w14:paraId="3FC14D4E"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Anderson, Spencer B., Jessen L. Hobson, and Ryan D. Sommerfeldt. 2022. “Auditing Non-GAAP Measures: Signaling More Than Intended.” </w:t>
      </w:r>
      <w:r w:rsidRPr="00CC4E81">
        <w:rPr>
          <w:rFonts w:ascii="Times New Roman" w:hAnsi="Times New Roman" w:cs="Times New Roman"/>
          <w:i/>
          <w:iCs/>
          <w:sz w:val="24"/>
          <w:szCs w:val="24"/>
        </w:rPr>
        <w:t>Contemporary Accounting Research</w:t>
      </w:r>
      <w:r w:rsidRPr="00CC4E81">
        <w:rPr>
          <w:rFonts w:ascii="Times New Roman" w:hAnsi="Times New Roman" w:cs="Times New Roman"/>
          <w:sz w:val="24"/>
          <w:szCs w:val="24"/>
        </w:rPr>
        <w:t xml:space="preserve"> 39 (1): 577–606. https://doi.org/10.1111/1911-3846.12724.</w:t>
      </w:r>
    </w:p>
    <w:p w14:paraId="75BF716A"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Arbia, Giuseppe, and Badi H. Baltagi, eds. 2009. </w:t>
      </w:r>
      <w:r w:rsidRPr="00CC4E81">
        <w:rPr>
          <w:rFonts w:ascii="Times New Roman" w:hAnsi="Times New Roman" w:cs="Times New Roman"/>
          <w:i/>
          <w:iCs/>
          <w:sz w:val="24"/>
          <w:szCs w:val="24"/>
        </w:rPr>
        <w:t>Spatial Econometrics</w:t>
      </w:r>
      <w:r w:rsidRPr="00CC4E81">
        <w:rPr>
          <w:rFonts w:ascii="Times New Roman" w:hAnsi="Times New Roman" w:cs="Times New Roman"/>
          <w:sz w:val="24"/>
          <w:szCs w:val="24"/>
        </w:rPr>
        <w:t>. Heidelberg: Physica-Verlag HD. https://doi.org/10.1007/978-3-7908-2070-6.</w:t>
      </w:r>
    </w:p>
    <w:p w14:paraId="4C6EE5AB" w14:textId="77777777" w:rsidR="003B3530" w:rsidRPr="00CC4E81" w:rsidRDefault="003B3530" w:rsidP="003B3530">
      <w:pPr>
        <w:pStyle w:val="Bibliography"/>
        <w:spacing w:after="120"/>
        <w:rPr>
          <w:rFonts w:ascii="Times New Roman" w:hAnsi="Times New Roman" w:cs="Times New Roman"/>
          <w:sz w:val="24"/>
          <w:szCs w:val="24"/>
        </w:rPr>
      </w:pPr>
      <w:proofErr w:type="spellStart"/>
      <w:r w:rsidRPr="00CC4E81">
        <w:rPr>
          <w:rFonts w:ascii="Times New Roman" w:hAnsi="Times New Roman" w:cs="Times New Roman"/>
          <w:sz w:val="24"/>
          <w:szCs w:val="24"/>
        </w:rPr>
        <w:t>Bennear</w:t>
      </w:r>
      <w:proofErr w:type="spellEnd"/>
      <w:r w:rsidRPr="00CC4E81">
        <w:rPr>
          <w:rFonts w:ascii="Times New Roman" w:hAnsi="Times New Roman" w:cs="Times New Roman"/>
          <w:sz w:val="24"/>
          <w:szCs w:val="24"/>
        </w:rPr>
        <w:t xml:space="preserve">, Lori Snyder, and Sheila M. Olmstead. 2008. “The Impacts of the ‘Right to Know’: Information Disclosure and the Violation of Drinking Water Standards.” </w:t>
      </w:r>
      <w:r w:rsidRPr="00CC4E81">
        <w:rPr>
          <w:rFonts w:ascii="Times New Roman" w:hAnsi="Times New Roman" w:cs="Times New Roman"/>
          <w:i/>
          <w:iCs/>
          <w:sz w:val="24"/>
          <w:szCs w:val="24"/>
        </w:rPr>
        <w:t>SSRN Electronic Journal</w:t>
      </w:r>
      <w:r w:rsidRPr="00CC4E81">
        <w:rPr>
          <w:rFonts w:ascii="Times New Roman" w:hAnsi="Times New Roman" w:cs="Times New Roman"/>
          <w:sz w:val="24"/>
          <w:szCs w:val="24"/>
        </w:rPr>
        <w:t>. https://doi.org/10.2139/ssrn.939590.</w:t>
      </w:r>
    </w:p>
    <w:p w14:paraId="556DBC31"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Bustos, Edgar O. 2021. “Organizational Reputation in the Public Administration: A Systematic Literature Review.”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81 (4): 731–51. https://doi.org/10.1111/puar.13363.</w:t>
      </w:r>
    </w:p>
    <w:p w14:paraId="6DD9934B"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Carpenter, Daniel P., and George A. Krause. 2012. “Reputation and Public Administration.”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72 (1): 26–32. https://doi.org/10.1111/j.1540-6210.2011.02506.x.</w:t>
      </w:r>
    </w:p>
    <w:p w14:paraId="4EF488E0"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Cherone, Heather. 2023. “Chicago Sues Monsanto for Polluting City’s Air, Water, Soil with Toxic Chemicals.” WTTW News. September 20, 2023. https://news.wttw.com/2023/09/20/chicago-sues-monsanto-polluting-city-s-air-water-soil-toxic-chemicals.</w:t>
      </w:r>
    </w:p>
    <w:p w14:paraId="1633D11E"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Crow, Deserai A., Elizabeth A. Albright, and Elizabeth Koebele. 2020. “Evaluating Stakeholder Participation and Influence on State‐Level Rulemaking.” </w:t>
      </w:r>
      <w:r w:rsidRPr="00CC4E81">
        <w:rPr>
          <w:rFonts w:ascii="Times New Roman" w:hAnsi="Times New Roman" w:cs="Times New Roman"/>
          <w:i/>
          <w:iCs/>
          <w:sz w:val="24"/>
          <w:szCs w:val="24"/>
        </w:rPr>
        <w:t>Policy Studies Journal</w:t>
      </w:r>
      <w:r w:rsidRPr="00CC4E81">
        <w:rPr>
          <w:rFonts w:ascii="Times New Roman" w:hAnsi="Times New Roman" w:cs="Times New Roman"/>
          <w:sz w:val="24"/>
          <w:szCs w:val="24"/>
        </w:rPr>
        <w:t xml:space="preserve"> 48 (4): 953–81. https://doi.org/10.1111/psj.12314.</w:t>
      </w:r>
    </w:p>
    <w:p w14:paraId="5CEA3A46"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Delmas, Magali A., Dror Etzion, and Nicholas Nairn-Birch. 2013. “Triangulating Environmental Performance: What Do Corporate Social Responsibility Ratings Really Capture?” </w:t>
      </w:r>
      <w:r w:rsidRPr="00CC4E81">
        <w:rPr>
          <w:rFonts w:ascii="Times New Roman" w:hAnsi="Times New Roman" w:cs="Times New Roman"/>
          <w:i/>
          <w:iCs/>
          <w:sz w:val="24"/>
          <w:szCs w:val="24"/>
        </w:rPr>
        <w:t>Academy of Management Perspectives</w:t>
      </w:r>
      <w:r w:rsidRPr="00CC4E81">
        <w:rPr>
          <w:rFonts w:ascii="Times New Roman" w:hAnsi="Times New Roman" w:cs="Times New Roman"/>
          <w:sz w:val="24"/>
          <w:szCs w:val="24"/>
        </w:rPr>
        <w:t xml:space="preserve"> 27 (3): 255–67. https://doi.org/10.5465/amp.2012.0123.</w:t>
      </w:r>
    </w:p>
    <w:p w14:paraId="20CA691F"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Delmas, Magali, Maria J. Montes‐Sancho, and Jay P. Shimshack. 2010. “INFORMATION DISCLOSURE POLICIES: EVIDENCE FROM THE ELECTRICITY INDUSTRY.” </w:t>
      </w:r>
      <w:r w:rsidRPr="00CC4E81">
        <w:rPr>
          <w:rFonts w:ascii="Times New Roman" w:hAnsi="Times New Roman" w:cs="Times New Roman"/>
          <w:i/>
          <w:iCs/>
          <w:sz w:val="24"/>
          <w:szCs w:val="24"/>
        </w:rPr>
        <w:t>Economic Inquiry</w:t>
      </w:r>
      <w:r w:rsidRPr="00CC4E81">
        <w:rPr>
          <w:rFonts w:ascii="Times New Roman" w:hAnsi="Times New Roman" w:cs="Times New Roman"/>
          <w:sz w:val="24"/>
          <w:szCs w:val="24"/>
        </w:rPr>
        <w:t xml:space="preserve"> 48 (2): 483–98. https://doi.org/10.1111/j.1465-7295.2009.00227.x.</w:t>
      </w:r>
    </w:p>
    <w:p w14:paraId="102F8E00"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lastRenderedPageBreak/>
        <w:t>Edwards, Eric C., Trevor O’Grady, and David Jenkins. 2019. “Sooner or Safer?” Center for Environmental and Resource Economic Policy. JSTOR. http://www.jstor.org.spot.lib.auburn.edu/stable/resrep37144.</w:t>
      </w:r>
    </w:p>
    <w:p w14:paraId="0B675146"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Etienne, J. 2015. “The Politics of Detection in Business Regulation.” </w:t>
      </w:r>
      <w:r w:rsidRPr="00CC4E81">
        <w:rPr>
          <w:rFonts w:ascii="Times New Roman" w:hAnsi="Times New Roman" w:cs="Times New Roman"/>
          <w:i/>
          <w:iCs/>
          <w:sz w:val="24"/>
          <w:szCs w:val="24"/>
        </w:rPr>
        <w:t>Journal of Public Administration Research and Theory</w:t>
      </w:r>
      <w:r w:rsidRPr="00CC4E81">
        <w:rPr>
          <w:rFonts w:ascii="Times New Roman" w:hAnsi="Times New Roman" w:cs="Times New Roman"/>
          <w:sz w:val="24"/>
          <w:szCs w:val="24"/>
        </w:rPr>
        <w:t xml:space="preserve"> 25 (1): 257–84. https://doi.org/10.1093/jopart/muu018.</w:t>
      </w:r>
    </w:p>
    <w:p w14:paraId="15A5918C"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Fiorino, Daniel J. 2006. </w:t>
      </w:r>
      <w:r w:rsidRPr="00CC4E81">
        <w:rPr>
          <w:rFonts w:ascii="Times New Roman" w:hAnsi="Times New Roman" w:cs="Times New Roman"/>
          <w:i/>
          <w:iCs/>
          <w:sz w:val="24"/>
          <w:szCs w:val="24"/>
        </w:rPr>
        <w:t>The New Environmental Regulation</w:t>
      </w:r>
      <w:r w:rsidRPr="00CC4E81">
        <w:rPr>
          <w:rFonts w:ascii="Times New Roman" w:hAnsi="Times New Roman" w:cs="Times New Roman"/>
          <w:sz w:val="24"/>
          <w:szCs w:val="24"/>
        </w:rPr>
        <w:t>. Cambridge, Mass: MIT Press.</w:t>
      </w:r>
    </w:p>
    <w:p w14:paraId="0BCD544C"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Fisk, Jonathan M. 2013. “The Right to Know? State Politics of Fracking Disclosure.” </w:t>
      </w:r>
      <w:r w:rsidRPr="00CC4E81">
        <w:rPr>
          <w:rFonts w:ascii="Times New Roman" w:hAnsi="Times New Roman" w:cs="Times New Roman"/>
          <w:i/>
          <w:iCs/>
          <w:sz w:val="24"/>
          <w:szCs w:val="24"/>
        </w:rPr>
        <w:t>Review of Policy Research</w:t>
      </w:r>
      <w:r w:rsidRPr="00CC4E81">
        <w:rPr>
          <w:rFonts w:ascii="Times New Roman" w:hAnsi="Times New Roman" w:cs="Times New Roman"/>
          <w:sz w:val="24"/>
          <w:szCs w:val="24"/>
        </w:rPr>
        <w:t xml:space="preserve"> 30 (4): 345–65. https://doi.org/10.1111/ropr.12025.</w:t>
      </w:r>
    </w:p>
    <w:p w14:paraId="5F279012"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Fisk, Jonathan M. 2017. </w:t>
      </w:r>
      <w:r w:rsidRPr="00CC4E81">
        <w:rPr>
          <w:rFonts w:ascii="Times New Roman" w:hAnsi="Times New Roman" w:cs="Times New Roman"/>
          <w:i/>
          <w:iCs/>
          <w:sz w:val="24"/>
          <w:szCs w:val="24"/>
        </w:rPr>
        <w:t>The Fracking Debate: Intergovernmental Politics of the Oil and Gas Renaissance</w:t>
      </w:r>
      <w:r w:rsidRPr="00CC4E81">
        <w:rPr>
          <w:rFonts w:ascii="Times New Roman" w:hAnsi="Times New Roman" w:cs="Times New Roman"/>
          <w:sz w:val="24"/>
          <w:szCs w:val="24"/>
        </w:rPr>
        <w:t>. 2nd ed. New York : Routledge, 2017.: Routledge. https://doi.org/10.4324/9781315212715.</w:t>
      </w:r>
    </w:p>
    <w:p w14:paraId="0BCEDFAE"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Fisk, Jonathan M., and A.J. Good. 2019. “Information Booms and Busts: Examining Oil and Gas Disclosure Policies across the States.” </w:t>
      </w:r>
      <w:r w:rsidRPr="00CC4E81">
        <w:rPr>
          <w:rFonts w:ascii="Times New Roman" w:hAnsi="Times New Roman" w:cs="Times New Roman"/>
          <w:i/>
          <w:iCs/>
          <w:sz w:val="24"/>
          <w:szCs w:val="24"/>
        </w:rPr>
        <w:t>Energy Policy</w:t>
      </w:r>
      <w:r w:rsidRPr="00CC4E81">
        <w:rPr>
          <w:rFonts w:ascii="Times New Roman" w:hAnsi="Times New Roman" w:cs="Times New Roman"/>
          <w:sz w:val="24"/>
          <w:szCs w:val="24"/>
        </w:rPr>
        <w:t xml:space="preserve"> 127 (April):374–81. https://doi.org/10.1016/j.enpol.2018.12.032.</w:t>
      </w:r>
    </w:p>
    <w:p w14:paraId="1A67C139"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Fisk, Jonathan M., Soren Jordan, and A. J. Good. 2022. </w:t>
      </w:r>
      <w:r w:rsidRPr="00CC4E81">
        <w:rPr>
          <w:rFonts w:ascii="Times New Roman" w:hAnsi="Times New Roman" w:cs="Times New Roman"/>
          <w:i/>
          <w:iCs/>
          <w:sz w:val="24"/>
          <w:szCs w:val="24"/>
        </w:rPr>
        <w:t>The Shale Renaissance: How Fracking Has Changed Pennsylvania in the Twenty-First Century</w:t>
      </w:r>
      <w:r w:rsidRPr="00CC4E81">
        <w:rPr>
          <w:rFonts w:ascii="Times New Roman" w:hAnsi="Times New Roman" w:cs="Times New Roman"/>
          <w:sz w:val="24"/>
          <w:szCs w:val="24"/>
        </w:rPr>
        <w:t>. Pittsburgh, Pa: University of Pittsburgh Press.</w:t>
      </w:r>
    </w:p>
    <w:p w14:paraId="196C653A" w14:textId="77777777" w:rsidR="003B3530" w:rsidRPr="00CC4E81" w:rsidRDefault="003B3530" w:rsidP="003B3530">
      <w:pPr>
        <w:pStyle w:val="Bibliography"/>
        <w:spacing w:after="120"/>
        <w:rPr>
          <w:rFonts w:ascii="Times New Roman" w:hAnsi="Times New Roman" w:cs="Times New Roman"/>
          <w:sz w:val="24"/>
          <w:szCs w:val="24"/>
        </w:rPr>
      </w:pPr>
      <w:proofErr w:type="spellStart"/>
      <w:r w:rsidRPr="00CC4E81">
        <w:rPr>
          <w:rFonts w:ascii="Times New Roman" w:hAnsi="Times New Roman" w:cs="Times New Roman"/>
          <w:sz w:val="24"/>
          <w:szCs w:val="24"/>
        </w:rPr>
        <w:t>Grimmelikhuijsen</w:t>
      </w:r>
      <w:proofErr w:type="spellEnd"/>
      <w:r w:rsidRPr="00CC4E81">
        <w:rPr>
          <w:rFonts w:ascii="Times New Roman" w:hAnsi="Times New Roman" w:cs="Times New Roman"/>
          <w:sz w:val="24"/>
          <w:szCs w:val="24"/>
        </w:rPr>
        <w:t xml:space="preserve">, Stephan, and Eric W. Welch. 2012. “Developing and Testing a Theoretical Framework for Computer‐Mediated Transparency of Local Governments.”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72 (4): 562–71. https://doi.org/10.1111/j.1540-6210.2011.02532.x.</w:t>
      </w:r>
    </w:p>
    <w:p w14:paraId="6E741A6A" w14:textId="77777777" w:rsidR="003B3530" w:rsidRPr="00CC4E81" w:rsidRDefault="003B3530" w:rsidP="003B3530">
      <w:pPr>
        <w:pStyle w:val="Bibliography"/>
        <w:spacing w:after="120"/>
        <w:rPr>
          <w:rFonts w:ascii="Times New Roman" w:hAnsi="Times New Roman" w:cs="Times New Roman"/>
          <w:sz w:val="24"/>
          <w:szCs w:val="24"/>
        </w:rPr>
      </w:pPr>
      <w:proofErr w:type="spellStart"/>
      <w:r w:rsidRPr="00CC4E81">
        <w:rPr>
          <w:rFonts w:ascii="Times New Roman" w:hAnsi="Times New Roman" w:cs="Times New Roman"/>
          <w:sz w:val="24"/>
          <w:szCs w:val="24"/>
        </w:rPr>
        <w:t>Grimmelikhuijsen</w:t>
      </w:r>
      <w:proofErr w:type="spellEnd"/>
      <w:r w:rsidRPr="00CC4E81">
        <w:rPr>
          <w:rFonts w:ascii="Times New Roman" w:hAnsi="Times New Roman" w:cs="Times New Roman"/>
          <w:sz w:val="24"/>
          <w:szCs w:val="24"/>
        </w:rPr>
        <w:t xml:space="preserve">, Stephan, Gregory Porumbescu, Boram Hong, and Tobin Im. 2013. “The Effect of Transparency on Trust in Government: A Cross‐National Comparative Experiment.”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73 (4): 575–86. https://doi.org/10.1111/puar.12047.</w:t>
      </w:r>
    </w:p>
    <w:p w14:paraId="7726451F"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Hamilton, JT. 2005. </w:t>
      </w:r>
      <w:r w:rsidRPr="00CC4E81">
        <w:rPr>
          <w:rFonts w:ascii="Times New Roman" w:hAnsi="Times New Roman" w:cs="Times New Roman"/>
          <w:i/>
          <w:iCs/>
          <w:sz w:val="24"/>
          <w:szCs w:val="24"/>
        </w:rPr>
        <w:t>Regulation through Revelation The Origin, Politics, and Impacts of the Toxics Release Inventory Program Introduction</w:t>
      </w:r>
      <w:r w:rsidRPr="00CC4E81">
        <w:rPr>
          <w:rFonts w:ascii="Times New Roman" w:hAnsi="Times New Roman" w:cs="Times New Roman"/>
          <w:sz w:val="24"/>
          <w:szCs w:val="24"/>
        </w:rPr>
        <w:t>. https://doi.org/10.1596/978-0-8213-7891-5.</w:t>
      </w:r>
    </w:p>
    <w:p w14:paraId="1236B6C4"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Hansen, Jesper Asring, and Poul Aaes Nielsen. 2022. “How Do Public Managers Learn from Performance Information? Experimental Evidence on Problem Focus, Innovative Search, and Change.”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82 (5): 946–57. https://doi.org/10.1111/puar.13533.</w:t>
      </w:r>
    </w:p>
    <w:p w14:paraId="580E4475"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Heikkila, Tanya, Jonathan J. Pierce, Samuel Gallaher, Jennifer Kagan, Deserai A. Crow, and Christopher M. Weible. 2014. “Understanding a Period of Policy Change: The Case of Hydraulic Fracturing Disclosure Policy in Colorado.” </w:t>
      </w:r>
      <w:r w:rsidRPr="00CC4E81">
        <w:rPr>
          <w:rFonts w:ascii="Times New Roman" w:hAnsi="Times New Roman" w:cs="Times New Roman"/>
          <w:i/>
          <w:iCs/>
          <w:sz w:val="24"/>
          <w:szCs w:val="24"/>
        </w:rPr>
        <w:t>Review of Policy Research</w:t>
      </w:r>
      <w:r w:rsidRPr="00CC4E81">
        <w:rPr>
          <w:rFonts w:ascii="Times New Roman" w:hAnsi="Times New Roman" w:cs="Times New Roman"/>
          <w:sz w:val="24"/>
          <w:szCs w:val="24"/>
        </w:rPr>
        <w:t xml:space="preserve"> 31 (2): 65–87. https://doi.org/10.1111/ropr.12058.</w:t>
      </w:r>
    </w:p>
    <w:p w14:paraId="366532BE"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Helland, Eric. 1998. “The Enforcement of Pollution Control Laws: Inspections, Violations, and Self-Reporting.” </w:t>
      </w:r>
      <w:r w:rsidRPr="00CC4E81">
        <w:rPr>
          <w:rFonts w:ascii="Times New Roman" w:hAnsi="Times New Roman" w:cs="Times New Roman"/>
          <w:i/>
          <w:iCs/>
          <w:sz w:val="24"/>
          <w:szCs w:val="24"/>
        </w:rPr>
        <w:t>Review of Economics and Statistics</w:t>
      </w:r>
      <w:r w:rsidRPr="00CC4E81">
        <w:rPr>
          <w:rFonts w:ascii="Times New Roman" w:hAnsi="Times New Roman" w:cs="Times New Roman"/>
          <w:sz w:val="24"/>
          <w:szCs w:val="24"/>
        </w:rPr>
        <w:t xml:space="preserve"> 80 (1): 141–53. https://doi.org/10.1162/003465398557249.</w:t>
      </w:r>
    </w:p>
    <w:p w14:paraId="63586EA0"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lastRenderedPageBreak/>
        <w:t xml:space="preserve">Hiatt, Shon R., and Sangchan Park. 2013. “Lords of the Harvest: Third-Party Influence and Regulatory Approval of Genetically Modified Organisms.” </w:t>
      </w:r>
      <w:r w:rsidRPr="00CC4E81">
        <w:rPr>
          <w:rFonts w:ascii="Times New Roman" w:hAnsi="Times New Roman" w:cs="Times New Roman"/>
          <w:i/>
          <w:iCs/>
          <w:sz w:val="24"/>
          <w:szCs w:val="24"/>
        </w:rPr>
        <w:t>Academy of Management Journal</w:t>
      </w:r>
      <w:r w:rsidRPr="00CC4E81">
        <w:rPr>
          <w:rFonts w:ascii="Times New Roman" w:hAnsi="Times New Roman" w:cs="Times New Roman"/>
          <w:sz w:val="24"/>
          <w:szCs w:val="24"/>
        </w:rPr>
        <w:t xml:space="preserve"> 56 (4): 923–44. https://doi.org/10.5465/amj.2011.0128.</w:t>
      </w:r>
    </w:p>
    <w:p w14:paraId="5298D487"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King, Gary. 1989. </w:t>
      </w:r>
      <w:r w:rsidRPr="00CC4E81">
        <w:rPr>
          <w:rFonts w:ascii="Times New Roman" w:hAnsi="Times New Roman" w:cs="Times New Roman"/>
          <w:i/>
          <w:iCs/>
          <w:sz w:val="24"/>
          <w:szCs w:val="24"/>
        </w:rPr>
        <w:t>Unifying Political Methodology: The Likelihood Theory of Statistical Inference</w:t>
      </w:r>
      <w:r w:rsidRPr="00CC4E81">
        <w:rPr>
          <w:rFonts w:ascii="Times New Roman" w:hAnsi="Times New Roman" w:cs="Times New Roman"/>
          <w:sz w:val="24"/>
          <w:szCs w:val="24"/>
        </w:rPr>
        <w:t>. 2011 Reprint. Cambridge, New York: Cambridge University Press.</w:t>
      </w:r>
    </w:p>
    <w:p w14:paraId="4C1E282B" w14:textId="77777777" w:rsidR="003B3530" w:rsidRPr="00CC4E81" w:rsidRDefault="003B3530" w:rsidP="003B3530">
      <w:pPr>
        <w:pStyle w:val="Bibliography"/>
        <w:spacing w:after="120"/>
        <w:rPr>
          <w:rFonts w:ascii="Times New Roman" w:hAnsi="Times New Roman" w:cs="Times New Roman"/>
          <w:sz w:val="24"/>
          <w:szCs w:val="24"/>
        </w:rPr>
      </w:pPr>
      <w:proofErr w:type="spellStart"/>
      <w:r w:rsidRPr="00CC4E81">
        <w:rPr>
          <w:rFonts w:ascii="Times New Roman" w:hAnsi="Times New Roman" w:cs="Times New Roman"/>
          <w:sz w:val="24"/>
          <w:szCs w:val="24"/>
        </w:rPr>
        <w:t>Klyza</w:t>
      </w:r>
      <w:proofErr w:type="spellEnd"/>
      <w:r w:rsidRPr="00CC4E81">
        <w:rPr>
          <w:rFonts w:ascii="Times New Roman" w:hAnsi="Times New Roman" w:cs="Times New Roman"/>
          <w:sz w:val="24"/>
          <w:szCs w:val="24"/>
        </w:rPr>
        <w:t xml:space="preserve">, Christopher McGrory, and David J. Sousa. 2013. </w:t>
      </w:r>
      <w:r w:rsidRPr="00CC4E81">
        <w:rPr>
          <w:rFonts w:ascii="Times New Roman" w:hAnsi="Times New Roman" w:cs="Times New Roman"/>
          <w:i/>
          <w:iCs/>
          <w:sz w:val="24"/>
          <w:szCs w:val="24"/>
        </w:rPr>
        <w:t>American Environmental Policy: Beyond Gridlock</w:t>
      </w:r>
      <w:r w:rsidRPr="00CC4E81">
        <w:rPr>
          <w:rFonts w:ascii="Times New Roman" w:hAnsi="Times New Roman" w:cs="Times New Roman"/>
          <w:sz w:val="24"/>
          <w:szCs w:val="24"/>
        </w:rPr>
        <w:t>. Updated and Expanded edition. American and Comparative Environmental Policy. Cambridge, Mass. London: MIT Press.</w:t>
      </w:r>
    </w:p>
    <w:p w14:paraId="3BF7CD64"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Konisky, David M., and Christopher Reenock. 2013. “Compliance Bias and Environmental (In)Justice.” </w:t>
      </w:r>
      <w:r w:rsidRPr="00CC4E81">
        <w:rPr>
          <w:rFonts w:ascii="Times New Roman" w:hAnsi="Times New Roman" w:cs="Times New Roman"/>
          <w:i/>
          <w:iCs/>
          <w:sz w:val="24"/>
          <w:szCs w:val="24"/>
        </w:rPr>
        <w:t>The Journal of Politics</w:t>
      </w:r>
      <w:r w:rsidRPr="00CC4E81">
        <w:rPr>
          <w:rFonts w:ascii="Times New Roman" w:hAnsi="Times New Roman" w:cs="Times New Roman"/>
          <w:sz w:val="24"/>
          <w:szCs w:val="24"/>
        </w:rPr>
        <w:t xml:space="preserve"> 75 (2): 506–19. https://doi.org/10.1017/S0022381613000170.</w:t>
      </w:r>
    </w:p>
    <w:p w14:paraId="2C8F5204"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Konisky, David M., and Christopher Reenock. 2018. “Regulatory Enforcement, </w:t>
      </w:r>
      <w:proofErr w:type="spellStart"/>
      <w:r w:rsidRPr="00CC4E81">
        <w:rPr>
          <w:rFonts w:ascii="Times New Roman" w:hAnsi="Times New Roman" w:cs="Times New Roman"/>
          <w:sz w:val="24"/>
          <w:szCs w:val="24"/>
        </w:rPr>
        <w:t>Riskscapes</w:t>
      </w:r>
      <w:proofErr w:type="spellEnd"/>
      <w:r w:rsidRPr="00CC4E81">
        <w:rPr>
          <w:rFonts w:ascii="Times New Roman" w:hAnsi="Times New Roman" w:cs="Times New Roman"/>
          <w:sz w:val="24"/>
          <w:szCs w:val="24"/>
        </w:rPr>
        <w:t xml:space="preserve">, and Environmental Justice.” </w:t>
      </w:r>
      <w:r w:rsidRPr="00CC4E81">
        <w:rPr>
          <w:rFonts w:ascii="Times New Roman" w:hAnsi="Times New Roman" w:cs="Times New Roman"/>
          <w:i/>
          <w:iCs/>
          <w:sz w:val="24"/>
          <w:szCs w:val="24"/>
        </w:rPr>
        <w:t>Policy Studies Journal</w:t>
      </w:r>
      <w:r w:rsidRPr="00CC4E81">
        <w:rPr>
          <w:rFonts w:ascii="Times New Roman" w:hAnsi="Times New Roman" w:cs="Times New Roman"/>
          <w:sz w:val="24"/>
          <w:szCs w:val="24"/>
        </w:rPr>
        <w:t xml:space="preserve"> 46 (1): 7–36. https://doi.org/10.1111/psj.12203.</w:t>
      </w:r>
    </w:p>
    <w:p w14:paraId="114A3162"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Kraft, Michael E., Mark Stephan, and Troy D. Abel. 2011. </w:t>
      </w:r>
      <w:r w:rsidRPr="00CC4E81">
        <w:rPr>
          <w:rFonts w:ascii="Times New Roman" w:hAnsi="Times New Roman" w:cs="Times New Roman"/>
          <w:i/>
          <w:iCs/>
          <w:sz w:val="24"/>
          <w:szCs w:val="24"/>
        </w:rPr>
        <w:t>Coming Clean: Information Disclosure and Environmental Performance</w:t>
      </w:r>
      <w:r w:rsidRPr="00CC4E81">
        <w:rPr>
          <w:rFonts w:ascii="Times New Roman" w:hAnsi="Times New Roman" w:cs="Times New Roman"/>
          <w:sz w:val="24"/>
          <w:szCs w:val="24"/>
        </w:rPr>
        <w:t>. Cambridge, Mass.: MIT Press.</w:t>
      </w:r>
    </w:p>
    <w:p w14:paraId="66552C7B"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Lee, Danbee. 2022. “Managing Bureaucratic Reputation in the Face of Crises: An Experimental Examination of the Effect of Strategic Communication.”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82 (6): 1124–37. https://doi.org/10.1111/puar.13520.</w:t>
      </w:r>
    </w:p>
    <w:p w14:paraId="6C984725"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Li, Zhengyan. 2023. “Bureaucratic Response to Performance Information: How Mandatory Information Disclosure Affects Environmental Inspections.”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83 (4): 750–62. https://doi.org/10.1111/puar.13636.</w:t>
      </w:r>
    </w:p>
    <w:p w14:paraId="7E4CA757" w14:textId="77777777" w:rsidR="003B3530"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Lim, </w:t>
      </w:r>
      <w:proofErr w:type="spellStart"/>
      <w:r w:rsidRPr="00CC4E81">
        <w:rPr>
          <w:rFonts w:ascii="Times New Roman" w:hAnsi="Times New Roman" w:cs="Times New Roman"/>
          <w:sz w:val="24"/>
          <w:szCs w:val="24"/>
        </w:rPr>
        <w:t>Sijeong</w:t>
      </w:r>
      <w:proofErr w:type="spellEnd"/>
      <w:r w:rsidRPr="00CC4E81">
        <w:rPr>
          <w:rFonts w:ascii="Times New Roman" w:hAnsi="Times New Roman" w:cs="Times New Roman"/>
          <w:sz w:val="24"/>
          <w:szCs w:val="24"/>
        </w:rPr>
        <w:t xml:space="preserve">, and Aseem Prakash. 2014. “Voluntary Regulations and Innovation: The Case of </w:t>
      </w:r>
      <w:r w:rsidRPr="00CC4E81">
        <w:rPr>
          <w:rFonts w:ascii="Times New Roman" w:hAnsi="Times New Roman" w:cs="Times New Roman"/>
          <w:smallCaps/>
          <w:sz w:val="24"/>
          <w:szCs w:val="24"/>
        </w:rPr>
        <w:t>ISO</w:t>
      </w:r>
      <w:r w:rsidRPr="00CC4E81">
        <w:rPr>
          <w:rFonts w:ascii="Times New Roman" w:hAnsi="Times New Roman" w:cs="Times New Roman"/>
          <w:sz w:val="24"/>
          <w:szCs w:val="24"/>
        </w:rPr>
        <w:t xml:space="preserve"> 14001.”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74 (2): 233–44. </w:t>
      </w:r>
      <w:hyperlink r:id="rId9" w:history="1">
        <w:r w:rsidRPr="00F22237">
          <w:rPr>
            <w:rStyle w:val="Hyperlink"/>
            <w:rFonts w:ascii="Times New Roman" w:hAnsi="Times New Roman" w:cs="Times New Roman"/>
            <w:sz w:val="24"/>
            <w:szCs w:val="24"/>
          </w:rPr>
          <w:t>https://doi.org/10.1111/puar.12189</w:t>
        </w:r>
      </w:hyperlink>
      <w:r w:rsidRPr="00CC4E81">
        <w:rPr>
          <w:rFonts w:ascii="Times New Roman" w:hAnsi="Times New Roman" w:cs="Times New Roman"/>
          <w:sz w:val="24"/>
          <w:szCs w:val="24"/>
        </w:rPr>
        <w:t>.</w:t>
      </w:r>
      <w:r>
        <w:rPr>
          <w:rFonts w:ascii="Times New Roman" w:hAnsi="Times New Roman" w:cs="Times New Roman"/>
          <w:sz w:val="24"/>
          <w:szCs w:val="24"/>
        </w:rPr>
        <w:t xml:space="preserve"> </w:t>
      </w:r>
    </w:p>
    <w:p w14:paraId="5593C255" w14:textId="127A70F8" w:rsidR="003B3530" w:rsidRPr="00C8250E" w:rsidRDefault="003B3530" w:rsidP="003B3530">
      <w:pPr>
        <w:pStyle w:val="Bibliography"/>
        <w:spacing w:after="120"/>
        <w:rPr>
          <w:rFonts w:ascii="Times New Roman" w:hAnsi="Times New Roman" w:cs="Times New Roman"/>
          <w:sz w:val="24"/>
          <w:szCs w:val="24"/>
        </w:rPr>
      </w:pPr>
      <w:r w:rsidRPr="00C8250E">
        <w:rPr>
          <w:rFonts w:ascii="Times New Roman" w:hAnsi="Times New Roman" w:cs="Times New Roman"/>
          <w:sz w:val="24"/>
          <w:szCs w:val="24"/>
        </w:rPr>
        <w:t>Lipsky, Michael. 1980. Street-Level Bureaucracy: Dilemmas of the Individual in Public Services. 30th Anniversary Expanded Edition 2010. Russell Sage Foundation.</w:t>
      </w:r>
    </w:p>
    <w:p w14:paraId="20931930"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Maor, Moshe, and Raanan Sulitzeanu‐Kenan. 2013. “The Effect of Salient Reputational Threats on the Pace of FDA Enforcement.” </w:t>
      </w:r>
      <w:r w:rsidRPr="00CC4E81">
        <w:rPr>
          <w:rFonts w:ascii="Times New Roman" w:hAnsi="Times New Roman" w:cs="Times New Roman"/>
          <w:i/>
          <w:iCs/>
          <w:sz w:val="24"/>
          <w:szCs w:val="24"/>
        </w:rPr>
        <w:t>Governance</w:t>
      </w:r>
      <w:r w:rsidRPr="00CC4E81">
        <w:rPr>
          <w:rFonts w:ascii="Times New Roman" w:hAnsi="Times New Roman" w:cs="Times New Roman"/>
          <w:sz w:val="24"/>
          <w:szCs w:val="24"/>
        </w:rPr>
        <w:t xml:space="preserve"> 26 (1): 31–61. https://doi.org/10.1111/j.1468-0491.2012.01601.x.</w:t>
      </w:r>
    </w:p>
    <w:p w14:paraId="463A05E7"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Marquis, Christopher, Michael W. Toffel, and Yanhua Zhou. 2016. “Scrutiny, Norms, and Selective Disclosure: A Global Study of Greenwashing.” </w:t>
      </w:r>
      <w:r w:rsidRPr="00CC4E81">
        <w:rPr>
          <w:rFonts w:ascii="Times New Roman" w:hAnsi="Times New Roman" w:cs="Times New Roman"/>
          <w:i/>
          <w:iCs/>
          <w:sz w:val="24"/>
          <w:szCs w:val="24"/>
        </w:rPr>
        <w:t>Organization Science</w:t>
      </w:r>
      <w:r w:rsidRPr="00CC4E81">
        <w:rPr>
          <w:rFonts w:ascii="Times New Roman" w:hAnsi="Times New Roman" w:cs="Times New Roman"/>
          <w:sz w:val="24"/>
          <w:szCs w:val="24"/>
        </w:rPr>
        <w:t xml:space="preserve"> 27 (2): 483–504. https://doi.org/10.1287/orsc.2015.1039.</w:t>
      </w:r>
    </w:p>
    <w:p w14:paraId="3B0142FD"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Mason, Michael. 2020. “Transparency, Accountability and Empowerment in Sustainability Governance: A Conceptual Review.” </w:t>
      </w:r>
      <w:r w:rsidRPr="00CC4E81">
        <w:rPr>
          <w:rFonts w:ascii="Times New Roman" w:hAnsi="Times New Roman" w:cs="Times New Roman"/>
          <w:i/>
          <w:iCs/>
          <w:sz w:val="24"/>
          <w:szCs w:val="24"/>
        </w:rPr>
        <w:t>Journal of Environmental Policy &amp; Planning</w:t>
      </w:r>
      <w:r w:rsidRPr="00CC4E81">
        <w:rPr>
          <w:rFonts w:ascii="Times New Roman" w:hAnsi="Times New Roman" w:cs="Times New Roman"/>
          <w:sz w:val="24"/>
          <w:szCs w:val="24"/>
        </w:rPr>
        <w:t xml:space="preserve"> 22 (1): 98–111. https://doi.org/10.1080/1523908X.2019.1661231.</w:t>
      </w:r>
    </w:p>
    <w:p w14:paraId="55068E8C" w14:textId="77777777" w:rsidR="003B3530"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Meier, Kenneth J., Miyeon Song, Jourdan A. Davis, and Anna A. Amirkhanyan. 2022. “Sector Bias and the Credibility of Performance Information: An Experimental Study of Elder Care Provision.”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82 (1): 69–82. </w:t>
      </w:r>
      <w:hyperlink r:id="rId10" w:history="1">
        <w:r w:rsidRPr="00F22237">
          <w:rPr>
            <w:rStyle w:val="Hyperlink"/>
            <w:rFonts w:ascii="Times New Roman" w:hAnsi="Times New Roman" w:cs="Times New Roman"/>
            <w:sz w:val="24"/>
            <w:szCs w:val="24"/>
          </w:rPr>
          <w:t>https://doi.org/10.1111/puar.13425</w:t>
        </w:r>
      </w:hyperlink>
      <w:r w:rsidRPr="00CC4E81">
        <w:rPr>
          <w:rFonts w:ascii="Times New Roman" w:hAnsi="Times New Roman" w:cs="Times New Roman"/>
          <w:sz w:val="24"/>
          <w:szCs w:val="24"/>
        </w:rPr>
        <w:t>.</w:t>
      </w:r>
      <w:r>
        <w:rPr>
          <w:rFonts w:ascii="Times New Roman" w:hAnsi="Times New Roman" w:cs="Times New Roman"/>
          <w:sz w:val="24"/>
          <w:szCs w:val="24"/>
        </w:rPr>
        <w:t xml:space="preserve"> </w:t>
      </w:r>
    </w:p>
    <w:p w14:paraId="041E0D9E" w14:textId="72C39A62" w:rsidR="003B3530" w:rsidRPr="00C8250E" w:rsidRDefault="003B3530" w:rsidP="003B3530">
      <w:pPr>
        <w:pStyle w:val="Bibliography"/>
        <w:spacing w:after="120"/>
        <w:rPr>
          <w:rFonts w:ascii="Times New Roman" w:hAnsi="Times New Roman" w:cs="Times New Roman"/>
          <w:sz w:val="24"/>
          <w:szCs w:val="24"/>
        </w:rPr>
      </w:pPr>
      <w:r w:rsidRPr="00C8250E">
        <w:rPr>
          <w:rFonts w:ascii="Times New Roman" w:hAnsi="Times New Roman" w:cs="Times New Roman"/>
          <w:sz w:val="24"/>
          <w:szCs w:val="24"/>
        </w:rPr>
        <w:lastRenderedPageBreak/>
        <w:t>Mendez, Carlos, and John Bachtler. 2024. “The Quality of Government and Administrative Performance: Explaining Cohesion Policy Compliance, Absorption and Achievements across EU Regions.” Regional Studies 58 (4): 690–703. https://doi.org/10.1080/00343404.2022.2083593.</w:t>
      </w:r>
    </w:p>
    <w:p w14:paraId="0FFD17C8"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Moody, Joe. 2023. “‘Bad Chemistry,’ An APR News Series-- ‘Anniston and Monsanto: Twenty Years Later.’” Broadcast transcript. Alabama Public Radio. August 24, 2023. https://www.apr.org/news/2023-08-24/anniston-and-monsanto-twenty-years-later.</w:t>
      </w:r>
    </w:p>
    <w:p w14:paraId="7B85FBAA"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Moynihan, D. P., and D. P. Hawes. 2012. “Responsiveness to Reform Values: The Influence of the Environment on Performance Information Use.”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72 (s1). https://doi.org/10.1111/j.1540-6210.2012.02653.x.</w:t>
      </w:r>
    </w:p>
    <w:p w14:paraId="5E14A8CF"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Moynihan, D. P., and J. Soss. 2014. “Policy Feedback and the Politics of Administration.”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74 (3): 320–32. https://doi.org/10.1111/puar.12200.</w:t>
      </w:r>
    </w:p>
    <w:p w14:paraId="599CF75F"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Moynihan, D. P., and S. K. Pandey. 2010. “The Big Question for Performance Management: Why Do Managers Use Performance Information?” </w:t>
      </w:r>
      <w:r w:rsidRPr="00CC4E81">
        <w:rPr>
          <w:rFonts w:ascii="Times New Roman" w:hAnsi="Times New Roman" w:cs="Times New Roman"/>
          <w:i/>
          <w:iCs/>
          <w:sz w:val="24"/>
          <w:szCs w:val="24"/>
        </w:rPr>
        <w:t>Journal of Public Administration Research and Theory</w:t>
      </w:r>
      <w:r w:rsidRPr="00CC4E81">
        <w:rPr>
          <w:rFonts w:ascii="Times New Roman" w:hAnsi="Times New Roman" w:cs="Times New Roman"/>
          <w:sz w:val="24"/>
          <w:szCs w:val="24"/>
        </w:rPr>
        <w:t xml:space="preserve"> 20 (4): 849–66. https://doi.org/10.1093/jopart/muq004.</w:t>
      </w:r>
    </w:p>
    <w:p w14:paraId="75CAE01C"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Newsome, Melba. 2021. “Decades of Legal Battles over Pollution by Industrial Hog Farms Haven’t Changed Much for Eastern NC Residents Burdened by Environmental Racism.” North Carolina Health News. October 29, 2021. http://www.northcarolinahealthnews.org/2021/10/29/legal-battles-over-pollution-from-hog-waste-environmental-racism-havent-changed-much/.</w:t>
      </w:r>
    </w:p>
    <w:p w14:paraId="030481E5"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Niles, Meredith T., and Mark Lubell. 2012. “Integrative Frontiers in Environmental Policy Theory and Research.” </w:t>
      </w:r>
      <w:r w:rsidRPr="00CC4E81">
        <w:rPr>
          <w:rFonts w:ascii="Times New Roman" w:hAnsi="Times New Roman" w:cs="Times New Roman"/>
          <w:i/>
          <w:iCs/>
          <w:sz w:val="24"/>
          <w:szCs w:val="24"/>
        </w:rPr>
        <w:t>Policy Studies Journal</w:t>
      </w:r>
      <w:r w:rsidRPr="00CC4E81">
        <w:rPr>
          <w:rFonts w:ascii="Times New Roman" w:hAnsi="Times New Roman" w:cs="Times New Roman"/>
          <w:sz w:val="24"/>
          <w:szCs w:val="24"/>
        </w:rPr>
        <w:t xml:space="preserve"> 40 (s1): 41–64. https://doi.org/10.1111/j.1541-0072.2012.00445.x.</w:t>
      </w:r>
    </w:p>
    <w:p w14:paraId="43DD3C05" w14:textId="77777777" w:rsidR="003B3530"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Noonan, Douglas S. 2014. “Smoggy with a Chance of Altruism: The Effects of Ozone Alerts on Outdoor Recreation and Driving in Atlanta.” </w:t>
      </w:r>
      <w:r w:rsidRPr="00CC4E81">
        <w:rPr>
          <w:rFonts w:ascii="Times New Roman" w:hAnsi="Times New Roman" w:cs="Times New Roman"/>
          <w:i/>
          <w:iCs/>
          <w:sz w:val="24"/>
          <w:szCs w:val="24"/>
        </w:rPr>
        <w:t>Policy Studies Journal</w:t>
      </w:r>
      <w:r w:rsidRPr="00CC4E81">
        <w:rPr>
          <w:rFonts w:ascii="Times New Roman" w:hAnsi="Times New Roman" w:cs="Times New Roman"/>
          <w:sz w:val="24"/>
          <w:szCs w:val="24"/>
        </w:rPr>
        <w:t xml:space="preserve"> 42 (1): 122–45. </w:t>
      </w:r>
      <w:hyperlink r:id="rId11" w:history="1">
        <w:r w:rsidRPr="00F22237">
          <w:rPr>
            <w:rStyle w:val="Hyperlink"/>
            <w:rFonts w:ascii="Times New Roman" w:hAnsi="Times New Roman" w:cs="Times New Roman"/>
            <w:sz w:val="24"/>
            <w:szCs w:val="24"/>
          </w:rPr>
          <w:t>https://doi.org/10.1111/psj.12045</w:t>
        </w:r>
      </w:hyperlink>
      <w:r w:rsidRPr="00CC4E81">
        <w:rPr>
          <w:rFonts w:ascii="Times New Roman" w:hAnsi="Times New Roman" w:cs="Times New Roman"/>
          <w:sz w:val="24"/>
          <w:szCs w:val="24"/>
        </w:rPr>
        <w:t>.</w:t>
      </w:r>
      <w:r>
        <w:rPr>
          <w:rFonts w:ascii="Times New Roman" w:hAnsi="Times New Roman" w:cs="Times New Roman"/>
          <w:sz w:val="24"/>
          <w:szCs w:val="24"/>
        </w:rPr>
        <w:t xml:space="preserve"> </w:t>
      </w:r>
    </w:p>
    <w:p w14:paraId="659C3A2D" w14:textId="1A54D788" w:rsidR="003B3530" w:rsidRPr="00C8250E" w:rsidRDefault="003B3530" w:rsidP="003B3530">
      <w:pPr>
        <w:pStyle w:val="Bibliography"/>
        <w:spacing w:after="120"/>
        <w:rPr>
          <w:rFonts w:ascii="Times New Roman" w:hAnsi="Times New Roman" w:cs="Times New Roman"/>
          <w:sz w:val="24"/>
          <w:szCs w:val="24"/>
        </w:rPr>
      </w:pPr>
      <w:r w:rsidRPr="00C8250E">
        <w:rPr>
          <w:rFonts w:ascii="Times New Roman" w:hAnsi="Times New Roman" w:cs="Times New Roman"/>
          <w:sz w:val="24"/>
          <w:szCs w:val="24"/>
        </w:rPr>
        <w:t>O’Toole, L. J., and K. J. Meier. 2015. “Public Management, Context, and Performance: In Quest of a More General Theory.” Journal of Public Administration Research and Theory 25 (1): 237–56. https://doi.org/10.1093/jopart/muu011.</w:t>
      </w:r>
    </w:p>
    <w:p w14:paraId="3570ABC3"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Pautz, Michelle C., and Sara R. Rinfret. 2013. </w:t>
      </w:r>
      <w:r w:rsidRPr="00CC4E81">
        <w:rPr>
          <w:rFonts w:ascii="Times New Roman" w:hAnsi="Times New Roman" w:cs="Times New Roman"/>
          <w:i/>
          <w:iCs/>
          <w:sz w:val="24"/>
          <w:szCs w:val="24"/>
        </w:rPr>
        <w:t>The Lilliputians of Environmental Regulation: The Perspective of State Regulators</w:t>
      </w:r>
      <w:r w:rsidRPr="00CC4E81">
        <w:rPr>
          <w:rFonts w:ascii="Times New Roman" w:hAnsi="Times New Roman" w:cs="Times New Roman"/>
          <w:sz w:val="24"/>
          <w:szCs w:val="24"/>
        </w:rPr>
        <w:t>. Routledge Research in Environmental Policy and Politics 2. New York, N.Y: Routledge. https://doi.org/10.4324/9780203143933.</w:t>
      </w:r>
    </w:p>
    <w:p w14:paraId="3E7A2265"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Prakash, A, and M Potoski. 2007. “Collective Action through Voluntary Environmental Programs: A Club Theory Perspective.” </w:t>
      </w:r>
      <w:r w:rsidRPr="00CC4E81">
        <w:rPr>
          <w:rFonts w:ascii="Times New Roman" w:hAnsi="Times New Roman" w:cs="Times New Roman"/>
          <w:i/>
          <w:iCs/>
          <w:sz w:val="24"/>
          <w:szCs w:val="24"/>
        </w:rPr>
        <w:t>Policy Studies Journal</w:t>
      </w:r>
      <w:r w:rsidRPr="00CC4E81">
        <w:rPr>
          <w:rFonts w:ascii="Times New Roman" w:hAnsi="Times New Roman" w:cs="Times New Roman"/>
          <w:sz w:val="24"/>
          <w:szCs w:val="24"/>
        </w:rPr>
        <w:t xml:space="preserve"> 35 (4): 773–92. https://doi.org/10.1111/j.1541-0072.2007.00247.x.</w:t>
      </w:r>
    </w:p>
    <w:p w14:paraId="6E864C43"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Rabe, Barry G., and Christopher Borick. 2013. “Conventional Politics for Unconventional Drilling? Lessons from Pennsylvania’s Early Move into Fracking Policy Development.” </w:t>
      </w:r>
      <w:r w:rsidRPr="00CC4E81">
        <w:rPr>
          <w:rFonts w:ascii="Times New Roman" w:hAnsi="Times New Roman" w:cs="Times New Roman"/>
          <w:i/>
          <w:iCs/>
          <w:sz w:val="24"/>
          <w:szCs w:val="24"/>
        </w:rPr>
        <w:t>Review of Policy Research</w:t>
      </w:r>
      <w:r w:rsidRPr="00CC4E81">
        <w:rPr>
          <w:rFonts w:ascii="Times New Roman" w:hAnsi="Times New Roman" w:cs="Times New Roman"/>
          <w:sz w:val="24"/>
          <w:szCs w:val="24"/>
        </w:rPr>
        <w:t xml:space="preserve"> 30 (3): 321–40. https://doi.org/10.1111/ropr.12018.</w:t>
      </w:r>
    </w:p>
    <w:p w14:paraId="3128A2CC"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Rodriguez, Elias. 2024. “New Toxics Release Inventory Data Reported.” News Release. U.S. EPA. Northeast. March 21, 2024. https://www.epa.gov/newsreleases/new-toxics-release-inventory-data-reported.</w:t>
      </w:r>
    </w:p>
    <w:p w14:paraId="7EFA3AB5"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lastRenderedPageBreak/>
        <w:t>RRC. 2019. “Railroad Commission Launches Texas’ First Online Searchable Database.” Government Press Release. Railroad Commission of Texas. January 23, 2019. https://www.rrc.texas.gov/news/012319a-railroad-commission-launches-texas-first-online-searchable-database/.</w:t>
      </w:r>
    </w:p>
    <w:p w14:paraId="193E2DBE" w14:textId="77777777" w:rsidR="003B3530" w:rsidRDefault="003B3530" w:rsidP="003B3530">
      <w:pPr>
        <w:pStyle w:val="Bibliography"/>
        <w:spacing w:after="120"/>
        <w:rPr>
          <w:rFonts w:ascii="Times New Roman" w:hAnsi="Times New Roman" w:cs="Times New Roman"/>
          <w:sz w:val="24"/>
          <w:szCs w:val="24"/>
        </w:rPr>
      </w:pPr>
      <w:r>
        <w:rPr>
          <w:rFonts w:ascii="Times New Roman" w:hAnsi="Times New Roman" w:cs="Times New Roman"/>
          <w:sz w:val="24"/>
          <w:szCs w:val="24"/>
        </w:rPr>
        <w:t>RRC.</w:t>
      </w:r>
      <w:r w:rsidRPr="00CC4E81">
        <w:rPr>
          <w:rFonts w:ascii="Times New Roman" w:hAnsi="Times New Roman" w:cs="Times New Roman"/>
          <w:sz w:val="24"/>
          <w:szCs w:val="24"/>
        </w:rPr>
        <w:t xml:space="preserve"> 2022. “Oil &amp; Gas Monitoring &amp; Enforcement Plan | Fiscal Year 2023.” Railroad Commission of Texas.</w:t>
      </w:r>
      <w:r>
        <w:rPr>
          <w:rFonts w:ascii="Times New Roman" w:hAnsi="Times New Roman" w:cs="Times New Roman"/>
          <w:sz w:val="24"/>
          <w:szCs w:val="24"/>
        </w:rPr>
        <w:t xml:space="preserve"> </w:t>
      </w:r>
    </w:p>
    <w:p w14:paraId="2004D412" w14:textId="65FC405D" w:rsidR="003B3530" w:rsidRPr="00C8250E" w:rsidRDefault="003B3530" w:rsidP="003B3530">
      <w:pPr>
        <w:pStyle w:val="Bibliography"/>
        <w:spacing w:after="120"/>
        <w:rPr>
          <w:rFonts w:ascii="Times New Roman" w:hAnsi="Times New Roman" w:cs="Times New Roman"/>
          <w:sz w:val="24"/>
          <w:szCs w:val="24"/>
        </w:rPr>
      </w:pPr>
      <w:r w:rsidRPr="00C8250E">
        <w:rPr>
          <w:rFonts w:ascii="Times New Roman" w:hAnsi="Times New Roman" w:cs="Times New Roman"/>
          <w:sz w:val="24"/>
          <w:szCs w:val="24"/>
        </w:rPr>
        <w:t>RRC. 2023. “Oil &amp; Gas Monitoring &amp; Enforcement Plan | Fiscal Year 2024.” Railroad Commission of Texas, June 14. https://www.rrc.texas.gov/media/h3kff2xp/og-enforcement-plan-fy-2024_web.pdf.</w:t>
      </w:r>
    </w:p>
    <w:p w14:paraId="3E8606CF" w14:textId="77777777" w:rsidR="004A4E2C" w:rsidRDefault="003B3530" w:rsidP="004A4E2C">
      <w:pPr>
        <w:pStyle w:val="Bibliography"/>
        <w:spacing w:after="120"/>
        <w:rPr>
          <w:rFonts w:ascii="Times New Roman" w:hAnsi="Times New Roman" w:cs="Times New Roman"/>
          <w:sz w:val="24"/>
          <w:szCs w:val="24"/>
        </w:rPr>
      </w:pPr>
      <w:r>
        <w:rPr>
          <w:rFonts w:ascii="Times New Roman" w:hAnsi="Times New Roman" w:cs="Times New Roman"/>
          <w:sz w:val="24"/>
          <w:szCs w:val="24"/>
        </w:rPr>
        <w:t>RRC.</w:t>
      </w:r>
      <w:r w:rsidRPr="00CC4E81">
        <w:rPr>
          <w:rFonts w:ascii="Times New Roman" w:hAnsi="Times New Roman" w:cs="Times New Roman"/>
          <w:sz w:val="24"/>
          <w:szCs w:val="24"/>
        </w:rPr>
        <w:t xml:space="preserve"> 2025. “Federally Funded Well Plugging.” Government Press Release. Railroad Commission of Texas. 2025. </w:t>
      </w:r>
      <w:hyperlink r:id="rId12" w:history="1">
        <w:r w:rsidR="004A4E2C" w:rsidRPr="00F22237">
          <w:rPr>
            <w:rStyle w:val="Hyperlink"/>
            <w:rFonts w:ascii="Times New Roman" w:hAnsi="Times New Roman" w:cs="Times New Roman"/>
            <w:sz w:val="24"/>
            <w:szCs w:val="24"/>
          </w:rPr>
          <w:t>https://www.rrc.texas.gov/oil-and-gas/environmental-cleanup-programs/federally-funded-well-plugging/</w:t>
        </w:r>
      </w:hyperlink>
      <w:r w:rsidRPr="00CC4E81">
        <w:rPr>
          <w:rFonts w:ascii="Times New Roman" w:hAnsi="Times New Roman" w:cs="Times New Roman"/>
          <w:sz w:val="24"/>
          <w:szCs w:val="24"/>
        </w:rPr>
        <w:t>.</w:t>
      </w:r>
      <w:r w:rsidR="004A4E2C">
        <w:rPr>
          <w:rFonts w:ascii="Times New Roman" w:hAnsi="Times New Roman" w:cs="Times New Roman"/>
          <w:sz w:val="24"/>
          <w:szCs w:val="24"/>
        </w:rPr>
        <w:t xml:space="preserve"> </w:t>
      </w:r>
    </w:p>
    <w:p w14:paraId="1A6DFDBD" w14:textId="3C204F11" w:rsidR="003B3530" w:rsidRPr="00C8250E" w:rsidRDefault="003B3530" w:rsidP="004A4E2C">
      <w:pPr>
        <w:pStyle w:val="Bibliography"/>
        <w:spacing w:after="120"/>
        <w:rPr>
          <w:rFonts w:ascii="Times New Roman" w:hAnsi="Times New Roman" w:cs="Times New Roman"/>
          <w:sz w:val="24"/>
          <w:szCs w:val="24"/>
        </w:rPr>
      </w:pPr>
      <w:r w:rsidRPr="00C8250E">
        <w:rPr>
          <w:rFonts w:ascii="Times New Roman" w:hAnsi="Times New Roman" w:cs="Times New Roman"/>
          <w:sz w:val="24"/>
          <w:szCs w:val="24"/>
        </w:rPr>
        <w:t>RRC. 2025. “Railroad Commissioners Past through Present.” Railroad Commission of Texas. https://www.rrc.texas.gov/about-us/commissioners/commissioner-list/.</w:t>
      </w:r>
    </w:p>
    <w:p w14:paraId="4FF3F9C9" w14:textId="77777777" w:rsidR="004A4E2C" w:rsidRDefault="003B3530" w:rsidP="004A4E2C">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Scholz, John T., and Feng Heng Wei. 1986. “Regulatory Enforcement in a Federalist System.” </w:t>
      </w:r>
      <w:r w:rsidRPr="00CC4E81">
        <w:rPr>
          <w:rFonts w:ascii="Times New Roman" w:hAnsi="Times New Roman" w:cs="Times New Roman"/>
          <w:i/>
          <w:iCs/>
          <w:sz w:val="24"/>
          <w:szCs w:val="24"/>
        </w:rPr>
        <w:t>American Political Science Review</w:t>
      </w:r>
      <w:r w:rsidRPr="00CC4E81">
        <w:rPr>
          <w:rFonts w:ascii="Times New Roman" w:hAnsi="Times New Roman" w:cs="Times New Roman"/>
          <w:sz w:val="24"/>
          <w:szCs w:val="24"/>
        </w:rPr>
        <w:t xml:space="preserve"> 80 (4): 1249–70. </w:t>
      </w:r>
      <w:hyperlink r:id="rId13" w:history="1">
        <w:r w:rsidR="004A4E2C" w:rsidRPr="00F22237">
          <w:rPr>
            <w:rStyle w:val="Hyperlink"/>
            <w:rFonts w:ascii="Times New Roman" w:hAnsi="Times New Roman" w:cs="Times New Roman"/>
            <w:sz w:val="24"/>
            <w:szCs w:val="24"/>
          </w:rPr>
          <w:t>https://doi.org/10.2307/1960866</w:t>
        </w:r>
      </w:hyperlink>
      <w:r w:rsidRPr="00CC4E81">
        <w:rPr>
          <w:rFonts w:ascii="Times New Roman" w:hAnsi="Times New Roman" w:cs="Times New Roman"/>
          <w:sz w:val="24"/>
          <w:szCs w:val="24"/>
        </w:rPr>
        <w:t>.</w:t>
      </w:r>
      <w:r w:rsidR="004A4E2C">
        <w:rPr>
          <w:rFonts w:ascii="Times New Roman" w:hAnsi="Times New Roman" w:cs="Times New Roman"/>
          <w:sz w:val="24"/>
          <w:szCs w:val="24"/>
        </w:rPr>
        <w:t xml:space="preserve"> </w:t>
      </w:r>
    </w:p>
    <w:p w14:paraId="309D94F4" w14:textId="77777777" w:rsidR="004A4E2C" w:rsidRDefault="003B3530" w:rsidP="004A4E2C">
      <w:pPr>
        <w:pStyle w:val="Bibliography"/>
        <w:spacing w:after="120"/>
        <w:rPr>
          <w:rFonts w:ascii="Times New Roman" w:hAnsi="Times New Roman" w:cs="Times New Roman"/>
          <w:sz w:val="24"/>
          <w:szCs w:val="24"/>
        </w:rPr>
      </w:pPr>
      <w:r w:rsidRPr="00C8250E">
        <w:rPr>
          <w:rFonts w:ascii="Times New Roman" w:hAnsi="Times New Roman" w:cs="Times New Roman"/>
          <w:sz w:val="24"/>
          <w:szCs w:val="24"/>
        </w:rPr>
        <w:t xml:space="preserve">Spillane, James P., and Charles L. Thompson. 1997. “Reconstructing Conceptions of Local Capacity: The Local Education Agency’s Capacity for Ambitious Instructional Reform.” Educational Evaluation and Policy Analysis 19 (2): 185–203. </w:t>
      </w:r>
      <w:hyperlink r:id="rId14" w:history="1">
        <w:r w:rsidR="004A4E2C" w:rsidRPr="00F22237">
          <w:rPr>
            <w:rStyle w:val="Hyperlink"/>
            <w:rFonts w:ascii="Times New Roman" w:hAnsi="Times New Roman" w:cs="Times New Roman"/>
            <w:sz w:val="24"/>
            <w:szCs w:val="24"/>
          </w:rPr>
          <w:t>https://doi.org/10.3102/01623737019002185</w:t>
        </w:r>
      </w:hyperlink>
      <w:r w:rsidRPr="00C8250E">
        <w:rPr>
          <w:rFonts w:ascii="Times New Roman" w:hAnsi="Times New Roman" w:cs="Times New Roman"/>
          <w:sz w:val="24"/>
          <w:szCs w:val="24"/>
        </w:rPr>
        <w:t>.</w:t>
      </w:r>
      <w:r w:rsidR="004A4E2C">
        <w:rPr>
          <w:rFonts w:ascii="Times New Roman" w:hAnsi="Times New Roman" w:cs="Times New Roman"/>
          <w:sz w:val="24"/>
          <w:szCs w:val="24"/>
        </w:rPr>
        <w:t xml:space="preserve"> </w:t>
      </w:r>
    </w:p>
    <w:p w14:paraId="57A4FEC3" w14:textId="39C0B2F1" w:rsidR="003B3530" w:rsidRPr="00C8250E" w:rsidRDefault="003B3530" w:rsidP="004A4E2C">
      <w:pPr>
        <w:pStyle w:val="Bibliography"/>
        <w:spacing w:after="120"/>
        <w:rPr>
          <w:rFonts w:ascii="Times New Roman" w:hAnsi="Times New Roman" w:cs="Times New Roman"/>
          <w:sz w:val="24"/>
          <w:szCs w:val="24"/>
        </w:rPr>
      </w:pPr>
      <w:r w:rsidRPr="00C8250E">
        <w:rPr>
          <w:rFonts w:ascii="Times New Roman" w:hAnsi="Times New Roman" w:cs="Times New Roman"/>
          <w:sz w:val="24"/>
          <w:szCs w:val="24"/>
        </w:rPr>
        <w:t>State of Montana. 2011. Performance Audit: Board of Oil and Gas Conservation Regulatory Program. Legislative Audit Nos. 11P-04. State of Montana, Legislative Audit Division. https://archive.legmt.gov/content/Publications/Audit/Report/11P-04.pdf.</w:t>
      </w:r>
    </w:p>
    <w:p w14:paraId="6FCE74C6" w14:textId="77777777" w:rsidR="003B3530" w:rsidRPr="00CC4E81" w:rsidRDefault="003B3530" w:rsidP="003B3530">
      <w:pPr>
        <w:pStyle w:val="Bibliography"/>
        <w:spacing w:after="120"/>
        <w:rPr>
          <w:rFonts w:ascii="Times New Roman" w:hAnsi="Times New Roman" w:cs="Times New Roman"/>
          <w:sz w:val="24"/>
          <w:szCs w:val="24"/>
        </w:rPr>
      </w:pPr>
      <w:proofErr w:type="spellStart"/>
      <w:r w:rsidRPr="00CC4E81">
        <w:rPr>
          <w:rFonts w:ascii="Times New Roman" w:hAnsi="Times New Roman" w:cs="Times New Roman"/>
          <w:sz w:val="24"/>
          <w:szCs w:val="24"/>
        </w:rPr>
        <w:t>Tietenberg</w:t>
      </w:r>
      <w:proofErr w:type="spellEnd"/>
      <w:r w:rsidRPr="00CC4E81">
        <w:rPr>
          <w:rFonts w:ascii="Times New Roman" w:hAnsi="Times New Roman" w:cs="Times New Roman"/>
          <w:sz w:val="24"/>
          <w:szCs w:val="24"/>
        </w:rPr>
        <w:t xml:space="preserve">, Tom. 1998. “Disclosure Strategies for Pollution Control.” </w:t>
      </w:r>
      <w:r w:rsidRPr="00CC4E81">
        <w:rPr>
          <w:rFonts w:ascii="Times New Roman" w:hAnsi="Times New Roman" w:cs="Times New Roman"/>
          <w:i/>
          <w:iCs/>
          <w:sz w:val="24"/>
          <w:szCs w:val="24"/>
        </w:rPr>
        <w:t>Environmental and Resource Economics</w:t>
      </w:r>
      <w:r w:rsidRPr="00CC4E81">
        <w:rPr>
          <w:rFonts w:ascii="Times New Roman" w:hAnsi="Times New Roman" w:cs="Times New Roman"/>
          <w:sz w:val="24"/>
          <w:szCs w:val="24"/>
        </w:rPr>
        <w:t xml:space="preserve"> 11 (3/4): 587–602. https://doi.org/10.1023/A:1008291411492.</w:t>
      </w:r>
    </w:p>
    <w:p w14:paraId="5E62CC62"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Tremblay-Boire, Joannie, and Aseem Prakash. 2015. “Accountability.Org: Online Disclosures by U.S. Nonprofits.” </w:t>
      </w:r>
      <w:r w:rsidRPr="00CC4E81">
        <w:rPr>
          <w:rFonts w:ascii="Times New Roman" w:hAnsi="Times New Roman" w:cs="Times New Roman"/>
          <w:i/>
          <w:iCs/>
          <w:sz w:val="24"/>
          <w:szCs w:val="24"/>
        </w:rPr>
        <w:t>VOLUNTAS: International Journal of Voluntary and Nonprofit Organizations</w:t>
      </w:r>
      <w:r w:rsidRPr="00CC4E81">
        <w:rPr>
          <w:rFonts w:ascii="Times New Roman" w:hAnsi="Times New Roman" w:cs="Times New Roman"/>
          <w:sz w:val="24"/>
          <w:szCs w:val="24"/>
        </w:rPr>
        <w:t xml:space="preserve"> 26 (2): 693–719. https://doi.org/10.1007/s11266-014-9452-3.</w:t>
      </w:r>
    </w:p>
    <w:p w14:paraId="0F47C091"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Ward, Michael Don, and Kristian Skrede Gleditsch. 2019. </w:t>
      </w:r>
      <w:r w:rsidRPr="00CC4E81">
        <w:rPr>
          <w:rFonts w:ascii="Times New Roman" w:hAnsi="Times New Roman" w:cs="Times New Roman"/>
          <w:i/>
          <w:iCs/>
          <w:sz w:val="24"/>
          <w:szCs w:val="24"/>
        </w:rPr>
        <w:t>Spatial Regression Models</w:t>
      </w:r>
      <w:r w:rsidRPr="00CC4E81">
        <w:rPr>
          <w:rFonts w:ascii="Times New Roman" w:hAnsi="Times New Roman" w:cs="Times New Roman"/>
          <w:sz w:val="24"/>
          <w:szCs w:val="24"/>
        </w:rPr>
        <w:t>. Second Edition. Quantitative Applications in the Social Sciences 155. Los Angeles: SAGE.</w:t>
      </w:r>
    </w:p>
    <w:p w14:paraId="4EB342E8"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Weible, Christopher M., Tanya Heikkila, and David P. Carter. 2017. “An Institutional and Opinion Analysis of Colorado’s Hydraulic Fracturing Disclosure Policy.” </w:t>
      </w:r>
      <w:r w:rsidRPr="00CC4E81">
        <w:rPr>
          <w:rFonts w:ascii="Times New Roman" w:hAnsi="Times New Roman" w:cs="Times New Roman"/>
          <w:i/>
          <w:iCs/>
          <w:sz w:val="24"/>
          <w:szCs w:val="24"/>
        </w:rPr>
        <w:t>Journal of Environmental Policy &amp; Planning</w:t>
      </w:r>
      <w:r w:rsidRPr="00CC4E81">
        <w:rPr>
          <w:rFonts w:ascii="Times New Roman" w:hAnsi="Times New Roman" w:cs="Times New Roman"/>
          <w:sz w:val="24"/>
          <w:szCs w:val="24"/>
        </w:rPr>
        <w:t xml:space="preserve"> 19 (2): 115–34. https://doi.org/10.1080/1523908X.2016.1150776.</w:t>
      </w:r>
    </w:p>
    <w:p w14:paraId="4E1A9C04" w14:textId="77777777" w:rsidR="003B3530" w:rsidRPr="00CC4E81"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Woods, Neal D. 2006. “Interstate Competition and Environmental Regulation: A Test of the Race‐to‐the‐Bottom Thesis</w:t>
      </w:r>
      <w:r w:rsidRPr="00CC4E81">
        <w:rPr>
          <w:rFonts w:ascii="Times New Roman" w:hAnsi="Times New Roman" w:cs="Times New Roman"/>
          <w:sz w:val="24"/>
          <w:szCs w:val="24"/>
          <w:vertAlign w:val="superscript"/>
        </w:rPr>
        <w:t>*</w:t>
      </w:r>
      <w:r w:rsidRPr="00CC4E81">
        <w:rPr>
          <w:rFonts w:ascii="Times New Roman" w:hAnsi="Times New Roman" w:cs="Times New Roman"/>
          <w:sz w:val="24"/>
          <w:szCs w:val="24"/>
        </w:rPr>
        <w:t xml:space="preserve">.” </w:t>
      </w:r>
      <w:r w:rsidRPr="00CC4E81">
        <w:rPr>
          <w:rFonts w:ascii="Times New Roman" w:hAnsi="Times New Roman" w:cs="Times New Roman"/>
          <w:i/>
          <w:iCs/>
          <w:sz w:val="24"/>
          <w:szCs w:val="24"/>
        </w:rPr>
        <w:t>Social Science Quarterly</w:t>
      </w:r>
      <w:r w:rsidRPr="00CC4E81">
        <w:rPr>
          <w:rFonts w:ascii="Times New Roman" w:hAnsi="Times New Roman" w:cs="Times New Roman"/>
          <w:sz w:val="24"/>
          <w:szCs w:val="24"/>
        </w:rPr>
        <w:t xml:space="preserve"> 87 (1): 174–89. https://doi.org/10.1111/j.0038-4941.2006.00375.x.</w:t>
      </w:r>
    </w:p>
    <w:p w14:paraId="6DE02835" w14:textId="77777777" w:rsidR="003B3530" w:rsidRDefault="003B3530" w:rsidP="003B3530">
      <w:pPr>
        <w:pStyle w:val="Bibliography"/>
        <w:spacing w:after="120"/>
        <w:rPr>
          <w:rFonts w:ascii="Times New Roman" w:hAnsi="Times New Roman" w:cs="Times New Roman"/>
          <w:sz w:val="24"/>
          <w:szCs w:val="24"/>
        </w:rPr>
      </w:pPr>
      <w:r w:rsidRPr="00CC4E81">
        <w:rPr>
          <w:rFonts w:ascii="Times New Roman" w:hAnsi="Times New Roman" w:cs="Times New Roman"/>
          <w:sz w:val="24"/>
          <w:szCs w:val="24"/>
        </w:rPr>
        <w:t xml:space="preserve">Young, Matthew M. 2020. “Implementation of Digital‐Era Governance: The Case of Open Data in U.S. Cities.” </w:t>
      </w:r>
      <w:r w:rsidRPr="00CC4E81">
        <w:rPr>
          <w:rFonts w:ascii="Times New Roman" w:hAnsi="Times New Roman" w:cs="Times New Roman"/>
          <w:i/>
          <w:iCs/>
          <w:sz w:val="24"/>
          <w:szCs w:val="24"/>
        </w:rPr>
        <w:t>Public Administration Review</w:t>
      </w:r>
      <w:r w:rsidRPr="00CC4E81">
        <w:rPr>
          <w:rFonts w:ascii="Times New Roman" w:hAnsi="Times New Roman" w:cs="Times New Roman"/>
          <w:sz w:val="24"/>
          <w:szCs w:val="24"/>
        </w:rPr>
        <w:t xml:space="preserve"> 80 (2): 305–15. </w:t>
      </w:r>
      <w:hyperlink r:id="rId15" w:history="1">
        <w:r w:rsidRPr="00F22237">
          <w:rPr>
            <w:rStyle w:val="Hyperlink"/>
            <w:rFonts w:ascii="Times New Roman" w:hAnsi="Times New Roman" w:cs="Times New Roman"/>
            <w:sz w:val="24"/>
            <w:szCs w:val="24"/>
          </w:rPr>
          <w:t>https://doi.org/10.1111/puar.13156</w:t>
        </w:r>
      </w:hyperlink>
      <w:r w:rsidRPr="00CC4E81">
        <w:rPr>
          <w:rFonts w:ascii="Times New Roman" w:hAnsi="Times New Roman" w:cs="Times New Roman"/>
          <w:sz w:val="24"/>
          <w:szCs w:val="24"/>
        </w:rPr>
        <w:t>.</w:t>
      </w:r>
    </w:p>
    <w:p w14:paraId="5C081A9F" w14:textId="77777777" w:rsidR="00C8250E" w:rsidRPr="00C8250E" w:rsidRDefault="00C8250E" w:rsidP="00C8250E"/>
    <w:p w14:paraId="68626D0E" w14:textId="52354A5B" w:rsidR="00500C0B" w:rsidRPr="00CC4E81" w:rsidRDefault="00500C0B" w:rsidP="00B80B38">
      <w:pPr>
        <w:spacing w:after="0" w:line="480" w:lineRule="auto"/>
        <w:rPr>
          <w:rFonts w:ascii="Times New Roman" w:hAnsi="Times New Roman" w:cs="Times New Roman"/>
          <w:sz w:val="24"/>
          <w:szCs w:val="24"/>
        </w:rPr>
      </w:pPr>
    </w:p>
    <w:sectPr w:rsidR="00500C0B" w:rsidRPr="00CC4E81">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formProt w:val="0"/>
      <w:titlePg/>
      <w:docGrid w:linePitch="100" w:charSpace="12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EA77D" w14:textId="77777777" w:rsidR="00811CA5" w:rsidRDefault="00811CA5">
      <w:pPr>
        <w:spacing w:after="0" w:line="240" w:lineRule="auto"/>
      </w:pPr>
      <w:r>
        <w:separator/>
      </w:r>
    </w:p>
  </w:endnote>
  <w:endnote w:type="continuationSeparator" w:id="0">
    <w:p w14:paraId="2CB53F1C" w14:textId="77777777" w:rsidR="00811CA5" w:rsidRDefault="00811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auto"/>
    <w:pitch w:val="default"/>
  </w:font>
  <w:font w:name="Noto Sans CJK SC">
    <w:charset w:val="00"/>
    <w:family w:val="auto"/>
    <w:pitch w:val="default"/>
  </w:font>
  <w:font w:name="Noto Sans Devanagari">
    <w:charset w:val="00"/>
    <w:family w:val="swiss"/>
    <w:pitch w:val="variable"/>
    <w:sig w:usb0="80008023" w:usb1="00002046" w:usb2="00000000" w:usb3="00000000" w:csb0="00000001" w:csb1="00000000"/>
  </w:font>
  <w:font w:name="Helvetica">
    <w:panose1 w:val="020B0604020202020204"/>
    <w:charset w:val="00"/>
    <w:family w:val="auto"/>
    <w:pitch w:val="variable"/>
    <w:sig w:usb0="E00002FF" w:usb1="5000785B"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EFEA6" w14:textId="77777777" w:rsidR="00500C0B" w:rsidRDefault="00ED02EB">
    <w:pPr>
      <w:pStyle w:val="Footer"/>
      <w:ind w:right="360"/>
    </w:pPr>
    <w:r>
      <w:rPr>
        <w:noProof/>
      </w:rPr>
      <mc:AlternateContent>
        <mc:Choice Requires="wps">
          <w:drawing>
            <wp:anchor distT="0" distB="0" distL="0" distR="0" simplePos="0" relativeHeight="80" behindDoc="1" locked="0" layoutInCell="0" allowOverlap="1" wp14:anchorId="31B3A15A" wp14:editId="689FEADF">
              <wp:simplePos x="0" y="0"/>
              <wp:positionH relativeFrom="margin">
                <wp:align>right</wp:align>
              </wp:positionH>
              <wp:positionV relativeFrom="paragraph">
                <wp:posOffset>635</wp:posOffset>
              </wp:positionV>
              <wp:extent cx="14605" cy="14605"/>
              <wp:effectExtent l="0" t="0" r="0" b="0"/>
              <wp:wrapNone/>
              <wp:docPr id="3" name="Frame1"/>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sdt>
                          <w:sdtPr>
                            <w:id w:val="-1232160214"/>
                            <w:docPartObj>
                              <w:docPartGallery w:val="Page Numbers (Bottom of Page)"/>
                              <w:docPartUnique/>
                            </w:docPartObj>
                          </w:sdtPr>
                          <w:sdtContent>
                            <w:p w14:paraId="522A3647" w14:textId="77777777" w:rsidR="00500C0B" w:rsidRDefault="00ED02EB">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p w14:paraId="387124A0" w14:textId="77777777" w:rsidR="00500C0B" w:rsidRDefault="00ED02EB">
                              <w:pPr>
                                <w:pStyle w:val="Footer"/>
                                <w:ind w:right="360"/>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sdtContent>
                        </w:sdt>
                      </w:txbxContent>
                    </wps:txbx>
                    <wps:bodyPr lIns="0" tIns="0" rIns="0" bIns="0" anchor="t">
                      <a:spAutoFit/>
                    </wps:bodyPr>
                  </wps:wsp>
                </a:graphicData>
              </a:graphic>
            </wp:anchor>
          </w:drawing>
        </mc:Choice>
        <mc:Fallback>
          <w:pict>
            <v:rect w14:anchorId="31B3A15A" id="Frame1" o:spid="_x0000_s1026" style="position:absolute;margin-left:-50.05pt;margin-top:.05pt;width:1.15pt;height:1.15pt;z-index:-50331640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" o:allowincell="f" filled="f" stroked="f" strokeweight="0">
              <v:textbox style="mso-fit-shape-to-text:t" inset="0,0,0,0">
                <w:txbxContent>
                  <w:sdt>
                    <w:sdtPr>
                      <w:id w:val="-1232160214"/>
                      <w:docPartObj>
                        <w:docPartGallery w:val="Page Numbers (Bottom of Page)"/>
                        <w:docPartUnique/>
                      </w:docPartObj>
                    </w:sdtPr>
                    <w:sdtContent>
                      <w:p w14:paraId="522A3647" w14:textId="77777777" w:rsidR="00500C0B" w:rsidRDefault="00ED02EB">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p w14:paraId="387124A0" w14:textId="77777777" w:rsidR="00500C0B" w:rsidRDefault="00ED02EB">
                        <w:pPr>
                          <w:pStyle w:val="Footer"/>
                          <w:ind w:right="360"/>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sdtContent>
                  </w:sdt>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6240" w:type="dxa"/>
      <w:tblLayout w:type="fixed"/>
      <w:tblLook w:val="06A0" w:firstRow="1" w:lastRow="0" w:firstColumn="1" w:lastColumn="0" w:noHBand="1" w:noVBand="1"/>
    </w:tblPr>
    <w:tblGrid>
      <w:gridCol w:w="3120"/>
      <w:gridCol w:w="3120"/>
    </w:tblGrid>
    <w:tr w:rsidR="00B53026" w14:paraId="015B8D0D" w14:textId="77777777" w:rsidTr="002F6B12">
      <w:trPr>
        <w:trHeight w:val="300"/>
      </w:trPr>
      <w:tc>
        <w:tcPr>
          <w:tcW w:w="3120" w:type="dxa"/>
        </w:tcPr>
        <w:p w14:paraId="3A366D9A" w14:textId="77777777" w:rsidR="00B53026" w:rsidRDefault="00B53026">
          <w:pPr>
            <w:pStyle w:val="Header"/>
            <w:jc w:val="center"/>
          </w:pPr>
        </w:p>
      </w:tc>
      <w:tc>
        <w:tcPr>
          <w:tcW w:w="3120" w:type="dxa"/>
        </w:tcPr>
        <w:p w14:paraId="55177E77" w14:textId="77777777" w:rsidR="00B53026" w:rsidRDefault="00B53026">
          <w:pPr>
            <w:pStyle w:val="Header"/>
            <w:ind w:right="-115"/>
            <w:jc w:val="right"/>
          </w:pPr>
        </w:p>
      </w:tc>
    </w:tr>
  </w:tbl>
  <w:p w14:paraId="303EDBD4" w14:textId="77777777" w:rsidR="00500C0B" w:rsidRDefault="00500C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60" w:type="dxa"/>
      <w:tblLayout w:type="fixed"/>
      <w:tblLook w:val="06A0" w:firstRow="1" w:lastRow="0" w:firstColumn="1" w:lastColumn="0" w:noHBand="1" w:noVBand="1"/>
    </w:tblPr>
    <w:tblGrid>
      <w:gridCol w:w="3120"/>
      <w:gridCol w:w="3120"/>
      <w:gridCol w:w="3120"/>
    </w:tblGrid>
    <w:tr w:rsidR="00500C0B" w14:paraId="128F9481" w14:textId="77777777">
      <w:trPr>
        <w:trHeight w:val="300"/>
      </w:trPr>
      <w:tc>
        <w:tcPr>
          <w:tcW w:w="3120" w:type="dxa"/>
        </w:tcPr>
        <w:p w14:paraId="45A6E157" w14:textId="77777777" w:rsidR="00500C0B" w:rsidRDefault="00500C0B">
          <w:pPr>
            <w:pStyle w:val="Header"/>
            <w:ind w:left="-115"/>
          </w:pPr>
        </w:p>
      </w:tc>
      <w:tc>
        <w:tcPr>
          <w:tcW w:w="3120" w:type="dxa"/>
        </w:tcPr>
        <w:p w14:paraId="2E1F92A9" w14:textId="77777777" w:rsidR="00500C0B" w:rsidRDefault="00500C0B">
          <w:pPr>
            <w:pStyle w:val="Header"/>
            <w:jc w:val="center"/>
          </w:pPr>
        </w:p>
      </w:tc>
      <w:tc>
        <w:tcPr>
          <w:tcW w:w="3120" w:type="dxa"/>
        </w:tcPr>
        <w:p w14:paraId="0C4A1EE3" w14:textId="77777777" w:rsidR="00500C0B" w:rsidRDefault="00500C0B">
          <w:pPr>
            <w:pStyle w:val="Header"/>
            <w:ind w:right="-115"/>
            <w:jc w:val="right"/>
          </w:pPr>
        </w:p>
      </w:tc>
    </w:tr>
  </w:tbl>
  <w:p w14:paraId="2940C885" w14:textId="77777777" w:rsidR="00500C0B" w:rsidRDefault="00500C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EE760" w14:textId="77777777" w:rsidR="00811CA5" w:rsidRDefault="00811CA5">
      <w:r>
        <w:separator/>
      </w:r>
    </w:p>
  </w:footnote>
  <w:footnote w:type="continuationSeparator" w:id="0">
    <w:p w14:paraId="01D4C97D" w14:textId="77777777" w:rsidR="00811CA5" w:rsidRDefault="00811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08504463"/>
      <w:docPartObj>
        <w:docPartGallery w:val="Page Numbers (Top of Page)"/>
        <w:docPartUnique/>
      </w:docPartObj>
    </w:sdtPr>
    <w:sdtContent>
      <w:p w14:paraId="76DB87AC" w14:textId="5602919F" w:rsidR="00B53026" w:rsidRDefault="00B53026" w:rsidP="007D7F5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BA5855" w14:textId="77777777" w:rsidR="00B53026" w:rsidRDefault="00B53026" w:rsidP="002F6B1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58376274"/>
      <w:docPartObj>
        <w:docPartGallery w:val="Page Numbers (Top of Page)"/>
        <w:docPartUnique/>
      </w:docPartObj>
    </w:sdtPr>
    <w:sdtContent>
      <w:p w14:paraId="557DC9C1" w14:textId="024EEF08" w:rsidR="00B53026" w:rsidRDefault="00B53026" w:rsidP="007D7F50">
        <w:pPr>
          <w:pStyle w:val="Header"/>
          <w:framePr w:wrap="none" w:vAnchor="text" w:hAnchor="margin" w:xAlign="right" w:y="1"/>
          <w:rPr>
            <w:rStyle w:val="PageNumber"/>
          </w:rPr>
        </w:pPr>
        <w:r w:rsidRPr="002F6B12">
          <w:rPr>
            <w:rStyle w:val="PageNumber"/>
            <w:rFonts w:ascii="Times New Roman" w:hAnsi="Times New Roman" w:cs="Times New Roman"/>
          </w:rPr>
          <w:fldChar w:fldCharType="begin"/>
        </w:r>
        <w:r w:rsidRPr="002F6B12">
          <w:rPr>
            <w:rStyle w:val="PageNumber"/>
            <w:rFonts w:ascii="Times New Roman" w:hAnsi="Times New Roman" w:cs="Times New Roman"/>
          </w:rPr>
          <w:instrText xml:space="preserve"> PAGE </w:instrText>
        </w:r>
        <w:r w:rsidRPr="002F6B12">
          <w:rPr>
            <w:rStyle w:val="PageNumber"/>
            <w:rFonts w:ascii="Times New Roman" w:hAnsi="Times New Roman" w:cs="Times New Roman"/>
          </w:rPr>
          <w:fldChar w:fldCharType="separate"/>
        </w:r>
        <w:r w:rsidRPr="002F6B12">
          <w:rPr>
            <w:rStyle w:val="PageNumber"/>
            <w:rFonts w:ascii="Times New Roman" w:hAnsi="Times New Roman" w:cs="Times New Roman"/>
            <w:noProof/>
          </w:rPr>
          <w:t>23</w:t>
        </w:r>
        <w:r w:rsidRPr="002F6B12">
          <w:rPr>
            <w:rStyle w:val="PageNumber"/>
            <w:rFonts w:ascii="Times New Roman" w:hAnsi="Times New Roman" w:cs="Times New Roman"/>
          </w:rPr>
          <w:fldChar w:fldCharType="end"/>
        </w:r>
      </w:p>
    </w:sdtContent>
  </w:sdt>
  <w:tbl>
    <w:tblPr>
      <w:tblW w:w="9360" w:type="dxa"/>
      <w:tblLayout w:type="fixed"/>
      <w:tblLook w:val="06A0" w:firstRow="1" w:lastRow="0" w:firstColumn="1" w:lastColumn="0" w:noHBand="1" w:noVBand="1"/>
    </w:tblPr>
    <w:tblGrid>
      <w:gridCol w:w="3120"/>
      <w:gridCol w:w="3120"/>
      <w:gridCol w:w="3120"/>
    </w:tblGrid>
    <w:tr w:rsidR="00500C0B" w14:paraId="19D3A03C" w14:textId="77777777">
      <w:trPr>
        <w:trHeight w:val="300"/>
      </w:trPr>
      <w:tc>
        <w:tcPr>
          <w:tcW w:w="3120" w:type="dxa"/>
        </w:tcPr>
        <w:p w14:paraId="267D88E6" w14:textId="77777777" w:rsidR="00500C0B" w:rsidRDefault="00500C0B" w:rsidP="002F6B12">
          <w:pPr>
            <w:pStyle w:val="Header"/>
            <w:ind w:left="-115" w:right="360"/>
          </w:pPr>
        </w:p>
      </w:tc>
      <w:tc>
        <w:tcPr>
          <w:tcW w:w="3120" w:type="dxa"/>
        </w:tcPr>
        <w:p w14:paraId="38F9B280" w14:textId="77777777" w:rsidR="00500C0B" w:rsidRDefault="00500C0B">
          <w:pPr>
            <w:pStyle w:val="Header"/>
            <w:jc w:val="center"/>
          </w:pPr>
        </w:p>
      </w:tc>
      <w:tc>
        <w:tcPr>
          <w:tcW w:w="3120" w:type="dxa"/>
        </w:tcPr>
        <w:p w14:paraId="5E41B542" w14:textId="77777777" w:rsidR="00500C0B" w:rsidRDefault="00500C0B">
          <w:pPr>
            <w:pStyle w:val="Header"/>
            <w:ind w:right="-115"/>
            <w:jc w:val="right"/>
          </w:pPr>
        </w:p>
      </w:tc>
    </w:tr>
  </w:tbl>
  <w:p w14:paraId="66B6EFEB" w14:textId="77777777" w:rsidR="00500C0B" w:rsidRDefault="00500C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60" w:type="dxa"/>
      <w:tblLayout w:type="fixed"/>
      <w:tblLook w:val="06A0" w:firstRow="1" w:lastRow="0" w:firstColumn="1" w:lastColumn="0" w:noHBand="1" w:noVBand="1"/>
    </w:tblPr>
    <w:tblGrid>
      <w:gridCol w:w="3120"/>
      <w:gridCol w:w="3120"/>
      <w:gridCol w:w="3120"/>
    </w:tblGrid>
    <w:tr w:rsidR="00500C0B" w14:paraId="653FFF8B" w14:textId="77777777">
      <w:trPr>
        <w:trHeight w:val="300"/>
      </w:trPr>
      <w:tc>
        <w:tcPr>
          <w:tcW w:w="3120" w:type="dxa"/>
        </w:tcPr>
        <w:p w14:paraId="2398B81E" w14:textId="77777777" w:rsidR="00500C0B" w:rsidRDefault="00500C0B">
          <w:pPr>
            <w:pStyle w:val="Header"/>
            <w:ind w:left="-115"/>
          </w:pPr>
        </w:p>
      </w:tc>
      <w:tc>
        <w:tcPr>
          <w:tcW w:w="3120" w:type="dxa"/>
        </w:tcPr>
        <w:p w14:paraId="34DC24E6" w14:textId="77777777" w:rsidR="00500C0B" w:rsidRDefault="00500C0B">
          <w:pPr>
            <w:pStyle w:val="Header"/>
            <w:jc w:val="center"/>
          </w:pPr>
        </w:p>
      </w:tc>
      <w:tc>
        <w:tcPr>
          <w:tcW w:w="3120" w:type="dxa"/>
        </w:tcPr>
        <w:p w14:paraId="7C8068C3" w14:textId="77777777" w:rsidR="00500C0B" w:rsidRDefault="00500C0B">
          <w:pPr>
            <w:pStyle w:val="Header"/>
            <w:ind w:right="-115"/>
            <w:jc w:val="right"/>
          </w:pPr>
        </w:p>
      </w:tc>
    </w:tr>
  </w:tbl>
  <w:p w14:paraId="633B5754" w14:textId="77777777" w:rsidR="00500C0B" w:rsidRDefault="00500C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BB46E3"/>
    <w:multiLevelType w:val="multilevel"/>
    <w:tmpl w:val="5A2CE78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63A90BA3"/>
    <w:multiLevelType w:val="multilevel"/>
    <w:tmpl w:val="5802A36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081678890">
    <w:abstractNumId w:val="1"/>
  </w:num>
  <w:num w:numId="2" w16cid:durableId="58017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C0B"/>
    <w:rsid w:val="00014D20"/>
    <w:rsid w:val="000153DD"/>
    <w:rsid w:val="00022F60"/>
    <w:rsid w:val="00027966"/>
    <w:rsid w:val="0004187C"/>
    <w:rsid w:val="000447EE"/>
    <w:rsid w:val="00054263"/>
    <w:rsid w:val="00064CD1"/>
    <w:rsid w:val="00081436"/>
    <w:rsid w:val="000815BB"/>
    <w:rsid w:val="00090CC1"/>
    <w:rsid w:val="00096E47"/>
    <w:rsid w:val="000A3B5C"/>
    <w:rsid w:val="000B06F5"/>
    <w:rsid w:val="000B23BF"/>
    <w:rsid w:val="000B4654"/>
    <w:rsid w:val="000B7BFE"/>
    <w:rsid w:val="000D534C"/>
    <w:rsid w:val="001025DC"/>
    <w:rsid w:val="00116947"/>
    <w:rsid w:val="00125908"/>
    <w:rsid w:val="001456D4"/>
    <w:rsid w:val="00162A71"/>
    <w:rsid w:val="0017369C"/>
    <w:rsid w:val="00180E1B"/>
    <w:rsid w:val="00186C2D"/>
    <w:rsid w:val="001A74B4"/>
    <w:rsid w:val="001C4719"/>
    <w:rsid w:val="001D2631"/>
    <w:rsid w:val="001E32C6"/>
    <w:rsid w:val="001F1FFF"/>
    <w:rsid w:val="002024ED"/>
    <w:rsid w:val="002055A1"/>
    <w:rsid w:val="00215323"/>
    <w:rsid w:val="0022115B"/>
    <w:rsid w:val="002244CC"/>
    <w:rsid w:val="00252E95"/>
    <w:rsid w:val="002B2D85"/>
    <w:rsid w:val="002B434B"/>
    <w:rsid w:val="002D729B"/>
    <w:rsid w:val="002E295D"/>
    <w:rsid w:val="002E680D"/>
    <w:rsid w:val="002F0044"/>
    <w:rsid w:val="002F21B2"/>
    <w:rsid w:val="002F4412"/>
    <w:rsid w:val="002F6B12"/>
    <w:rsid w:val="00303D51"/>
    <w:rsid w:val="00315B1B"/>
    <w:rsid w:val="00323A12"/>
    <w:rsid w:val="00360F32"/>
    <w:rsid w:val="00361390"/>
    <w:rsid w:val="003714AF"/>
    <w:rsid w:val="003769A5"/>
    <w:rsid w:val="00386021"/>
    <w:rsid w:val="003936D1"/>
    <w:rsid w:val="00397750"/>
    <w:rsid w:val="003B0A34"/>
    <w:rsid w:val="003B137D"/>
    <w:rsid w:val="003B1AF8"/>
    <w:rsid w:val="003B25CC"/>
    <w:rsid w:val="003B3530"/>
    <w:rsid w:val="003B7D05"/>
    <w:rsid w:val="003C5338"/>
    <w:rsid w:val="003E163D"/>
    <w:rsid w:val="003F1CB9"/>
    <w:rsid w:val="0042387D"/>
    <w:rsid w:val="00430CB9"/>
    <w:rsid w:val="00437077"/>
    <w:rsid w:val="004647E9"/>
    <w:rsid w:val="00482F23"/>
    <w:rsid w:val="0048498C"/>
    <w:rsid w:val="00490C00"/>
    <w:rsid w:val="004A1F55"/>
    <w:rsid w:val="004A475E"/>
    <w:rsid w:val="004A4E2C"/>
    <w:rsid w:val="004B4BC5"/>
    <w:rsid w:val="004F2C2A"/>
    <w:rsid w:val="004F5B40"/>
    <w:rsid w:val="00500C0B"/>
    <w:rsid w:val="00545C51"/>
    <w:rsid w:val="00555981"/>
    <w:rsid w:val="005675A6"/>
    <w:rsid w:val="0057501E"/>
    <w:rsid w:val="005A32BD"/>
    <w:rsid w:val="005A5004"/>
    <w:rsid w:val="005A59F1"/>
    <w:rsid w:val="005C7CF6"/>
    <w:rsid w:val="005D0FED"/>
    <w:rsid w:val="005D5553"/>
    <w:rsid w:val="005E68C7"/>
    <w:rsid w:val="005F3FAB"/>
    <w:rsid w:val="006015A6"/>
    <w:rsid w:val="00620CF9"/>
    <w:rsid w:val="00634000"/>
    <w:rsid w:val="006455C2"/>
    <w:rsid w:val="006455F7"/>
    <w:rsid w:val="00655791"/>
    <w:rsid w:val="00670BD4"/>
    <w:rsid w:val="006715ED"/>
    <w:rsid w:val="00672ACA"/>
    <w:rsid w:val="006747C5"/>
    <w:rsid w:val="006772CF"/>
    <w:rsid w:val="006822A3"/>
    <w:rsid w:val="0068768A"/>
    <w:rsid w:val="00693CCE"/>
    <w:rsid w:val="006A4442"/>
    <w:rsid w:val="006B0574"/>
    <w:rsid w:val="006B4AF2"/>
    <w:rsid w:val="006C2DA6"/>
    <w:rsid w:val="006C7ED1"/>
    <w:rsid w:val="006E5846"/>
    <w:rsid w:val="006E6C1D"/>
    <w:rsid w:val="006F3CFB"/>
    <w:rsid w:val="00716940"/>
    <w:rsid w:val="0074185E"/>
    <w:rsid w:val="007454E7"/>
    <w:rsid w:val="007465C1"/>
    <w:rsid w:val="007471A7"/>
    <w:rsid w:val="007743D5"/>
    <w:rsid w:val="00775332"/>
    <w:rsid w:val="00781ACD"/>
    <w:rsid w:val="007828A6"/>
    <w:rsid w:val="00793131"/>
    <w:rsid w:val="007A4B05"/>
    <w:rsid w:val="007C6D7C"/>
    <w:rsid w:val="007D1191"/>
    <w:rsid w:val="007E32A9"/>
    <w:rsid w:val="00801EBB"/>
    <w:rsid w:val="00811CA5"/>
    <w:rsid w:val="00845D88"/>
    <w:rsid w:val="00873479"/>
    <w:rsid w:val="00873EA6"/>
    <w:rsid w:val="00886F7B"/>
    <w:rsid w:val="008B4A7A"/>
    <w:rsid w:val="008D2DAA"/>
    <w:rsid w:val="008E25E9"/>
    <w:rsid w:val="008E6AB9"/>
    <w:rsid w:val="00906553"/>
    <w:rsid w:val="009327B4"/>
    <w:rsid w:val="00932C3D"/>
    <w:rsid w:val="00933EDD"/>
    <w:rsid w:val="00975D4D"/>
    <w:rsid w:val="009A7E68"/>
    <w:rsid w:val="009E73F9"/>
    <w:rsid w:val="00A1383E"/>
    <w:rsid w:val="00A30A60"/>
    <w:rsid w:val="00A34122"/>
    <w:rsid w:val="00A559DB"/>
    <w:rsid w:val="00A656A1"/>
    <w:rsid w:val="00A74C2B"/>
    <w:rsid w:val="00A83629"/>
    <w:rsid w:val="00A86954"/>
    <w:rsid w:val="00A95E3D"/>
    <w:rsid w:val="00A97E34"/>
    <w:rsid w:val="00AA45A3"/>
    <w:rsid w:val="00AB1977"/>
    <w:rsid w:val="00AB3A0C"/>
    <w:rsid w:val="00AD7457"/>
    <w:rsid w:val="00AE3FD3"/>
    <w:rsid w:val="00AF269D"/>
    <w:rsid w:val="00B02BC7"/>
    <w:rsid w:val="00B3052E"/>
    <w:rsid w:val="00B45BE1"/>
    <w:rsid w:val="00B53026"/>
    <w:rsid w:val="00B80B38"/>
    <w:rsid w:val="00BD0A17"/>
    <w:rsid w:val="00BD230B"/>
    <w:rsid w:val="00BF3558"/>
    <w:rsid w:val="00C2024D"/>
    <w:rsid w:val="00C270D1"/>
    <w:rsid w:val="00C36924"/>
    <w:rsid w:val="00C41F09"/>
    <w:rsid w:val="00C46C81"/>
    <w:rsid w:val="00C75A49"/>
    <w:rsid w:val="00C76275"/>
    <w:rsid w:val="00C8250E"/>
    <w:rsid w:val="00CA7827"/>
    <w:rsid w:val="00CB61E8"/>
    <w:rsid w:val="00CC4E81"/>
    <w:rsid w:val="00CD22F6"/>
    <w:rsid w:val="00D32E15"/>
    <w:rsid w:val="00D64E19"/>
    <w:rsid w:val="00D65604"/>
    <w:rsid w:val="00D71102"/>
    <w:rsid w:val="00D74EDE"/>
    <w:rsid w:val="00DA5D73"/>
    <w:rsid w:val="00E21B68"/>
    <w:rsid w:val="00E46E21"/>
    <w:rsid w:val="00EB7FB3"/>
    <w:rsid w:val="00ED02EB"/>
    <w:rsid w:val="00ED40B2"/>
    <w:rsid w:val="00EE0625"/>
    <w:rsid w:val="00EE3D79"/>
    <w:rsid w:val="00F11E23"/>
    <w:rsid w:val="00F20019"/>
    <w:rsid w:val="00F23DDB"/>
    <w:rsid w:val="00F54CD4"/>
    <w:rsid w:val="00F607FD"/>
    <w:rsid w:val="00F6153A"/>
    <w:rsid w:val="00F92DB3"/>
    <w:rsid w:val="00FA5493"/>
    <w:rsid w:val="00FA59A0"/>
    <w:rsid w:val="00FD5F36"/>
    <w:rsid w:val="00FE5100"/>
  </w:rsids>
  <m:mathPr>
    <m:mathFont m:val="Cambria Math"/>
    <m:brkBin m:val="before"/>
    <m:brkBinSub m:val="--"/>
    <m:smallFrac m:val="0"/>
    <m:dispDef/>
    <m:lMargin m:val="0"/>
    <m:rMargin m:val="0"/>
    <m:defJc m:val="centerGroup"/>
    <m:wrapIndent m:val="1440"/>
    <m:intLim m:val="subSup"/>
    <m:naryLim m:val="undOvr"/>
  </m:mathPr>
  <w:themeFontLang w:val="en-US" w:eastAsia="zh-CN"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3300D"/>
  <w15:docId w15:val="{5B2C1F13-96EC-964C-80CD-5D3AF72AF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aptionChar">
    <w:name w:val="Caption Char"/>
    <w:qFormat/>
  </w:style>
  <w:style w:type="character" w:customStyle="1" w:styleId="EndnoteTextChar">
    <w:name w:val="Endnote Text Char"/>
    <w:link w:val="EndnoteText"/>
    <w:uiPriority w:val="99"/>
    <w:qFormat/>
    <w:rPr>
      <w:sz w:val="20"/>
    </w:rPr>
  </w:style>
  <w:style w:type="character" w:customStyle="1" w:styleId="EndnoteCharacters">
    <w:name w:val="Endnote Characters"/>
    <w:uiPriority w:val="99"/>
    <w:semiHidden/>
    <w:unhideWhenUsed/>
    <w:qFormat/>
    <w:rPr>
      <w:vertAlign w:val="superscript"/>
    </w:rPr>
  </w:style>
  <w:style w:type="character" w:styleId="EndnoteReference">
    <w:name w:val="endnote reference"/>
    <w:rPr>
      <w:vertAlign w:val="superscript"/>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qFormat/>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qFormat/>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qFormat/>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qFormat/>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qFormat/>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qFormat/>
    <w:rPr>
      <w:rFonts w:eastAsiaTheme="majorEastAsia" w:cstheme="majorBidi"/>
      <w:color w:val="272727" w:themeColor="text1" w:themeTint="D8"/>
    </w:rPr>
  </w:style>
  <w:style w:type="character" w:customStyle="1" w:styleId="TitleChar">
    <w:name w:val="Title Char"/>
    <w:basedOn w:val="DefaultParagraphFont"/>
    <w:link w:val="Title"/>
    <w:uiPriority w:val="10"/>
    <w:qFormat/>
    <w:rPr>
      <w:rFonts w:asciiTheme="majorHAnsi" w:eastAsiaTheme="majorEastAsia" w:hAnsiTheme="majorHAnsi" w:cstheme="majorBidi"/>
      <w:spacing w:val="-10"/>
      <w:sz w:val="56"/>
      <w:szCs w:val="56"/>
    </w:rPr>
  </w:style>
  <w:style w:type="character" w:customStyle="1" w:styleId="SubtitleChar">
    <w:name w:val="Subtitle Char"/>
    <w:basedOn w:val="DefaultParagraphFont"/>
    <w:link w:val="Subtitle"/>
    <w:uiPriority w:val="11"/>
    <w:qFormat/>
    <w:rPr>
      <w:rFonts w:eastAsiaTheme="majorEastAsia" w:cstheme="majorBidi"/>
      <w:color w:val="595959" w:themeColor="text1" w:themeTint="A6"/>
      <w:spacing w:val="15"/>
      <w:sz w:val="28"/>
      <w:szCs w:val="28"/>
    </w:rPr>
  </w:style>
  <w:style w:type="character" w:customStyle="1" w:styleId="QuoteChar">
    <w:name w:val="Quote Char"/>
    <w:basedOn w:val="DefaultParagraphFont"/>
    <w:link w:val="Quote"/>
    <w:uiPriority w:val="29"/>
    <w:qFormat/>
    <w:rPr>
      <w:i/>
      <w:iCs/>
      <w:color w:val="404040" w:themeColor="text1" w:themeTint="BF"/>
    </w:rPr>
  </w:style>
  <w:style w:type="character" w:styleId="IntenseEmphasis">
    <w:name w:val="Intense Emphasis"/>
    <w:basedOn w:val="DefaultParagraphFont"/>
    <w:uiPriority w:val="21"/>
    <w:qFormat/>
    <w:rPr>
      <w:i/>
      <w:iCs/>
      <w:color w:val="0F4761" w:themeColor="accent1" w:themeShade="BF"/>
    </w:rPr>
  </w:style>
  <w:style w:type="character" w:customStyle="1" w:styleId="IntenseQuoteChar">
    <w:name w:val="Intense Quote Char"/>
    <w:basedOn w:val="DefaultParagraphFont"/>
    <w:link w:val="IntenseQuote"/>
    <w:uiPriority w:val="30"/>
    <w:qFormat/>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CommentReference">
    <w:name w:val="annotation reference"/>
    <w:basedOn w:val="DefaultParagraphFont"/>
    <w:unhideWhenUsed/>
    <w:qFormat/>
    <w:rPr>
      <w:sz w:val="16"/>
      <w:szCs w:val="16"/>
    </w:rPr>
  </w:style>
  <w:style w:type="character" w:customStyle="1" w:styleId="CommentTextChar">
    <w:name w:val="Comment Text Char"/>
    <w:basedOn w:val="DefaultParagraphFont"/>
    <w:link w:val="CommentText"/>
    <w:uiPriority w:val="99"/>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character" w:customStyle="1" w:styleId="BodyTextChar">
    <w:name w:val="Body Text Char"/>
    <w:basedOn w:val="DefaultParagraphFont"/>
    <w:link w:val="BodyText"/>
    <w:qFormat/>
    <w:rPr>
      <w:sz w:val="24"/>
      <w:szCs w:val="24"/>
      <w14:ligatures w14:val="none"/>
    </w:rPr>
  </w:style>
  <w:style w:type="character" w:customStyle="1" w:styleId="FootnoteTextChar">
    <w:name w:val="Footnote Text Char"/>
    <w:basedOn w:val="DefaultParagraphFont"/>
    <w:link w:val="FootnoteText"/>
    <w:uiPriority w:val="99"/>
    <w:qFormat/>
    <w:rPr>
      <w:sz w:val="24"/>
      <w:szCs w:val="24"/>
      <w14:ligatures w14:val="none"/>
    </w:rPr>
  </w:style>
  <w:style w:type="character" w:customStyle="1" w:styleId="FootnoteCharacters">
    <w:name w:val="Footnote Characters"/>
    <w:uiPriority w:val="99"/>
    <w:qFormat/>
    <w:rPr>
      <w:vertAlign w:val="superscript"/>
    </w:rPr>
  </w:style>
  <w:style w:type="character" w:styleId="FootnoteReference">
    <w:name w:val="footnote reference"/>
    <w:rPr>
      <w:vertAlign w:val="superscript"/>
    </w:rPr>
  </w:style>
  <w:style w:type="character" w:customStyle="1" w:styleId="mop">
    <w:name w:val="mop"/>
    <w:basedOn w:val="DefaultParagraphFont"/>
    <w:qFormat/>
  </w:style>
  <w:style w:type="character" w:customStyle="1" w:styleId="mord">
    <w:name w:val="mord"/>
    <w:basedOn w:val="DefaultParagraphFont"/>
    <w:qFormat/>
  </w:style>
  <w:style w:type="character" w:customStyle="1" w:styleId="vlist-s">
    <w:name w:val="vlist-s"/>
    <w:basedOn w:val="DefaultParagraphFont"/>
    <w:qFormat/>
  </w:style>
  <w:style w:type="character" w:customStyle="1" w:styleId="mbin">
    <w:name w:val="mbin"/>
    <w:basedOn w:val="DefaultParagraphFont"/>
    <w:qFormat/>
  </w:style>
  <w:style w:type="character" w:styleId="Hyperlink">
    <w:name w:val="Hyperlink"/>
    <w:basedOn w:val="DefaultParagraphFont"/>
    <w:uiPriority w:val="99"/>
    <w:unhideWhenUsed/>
    <w:rPr>
      <w:color w:val="0000FF"/>
      <w:u w:val="single"/>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apple-converted-space">
    <w:name w:val="apple-converted-space"/>
    <w:basedOn w:val="DefaultParagraphFont"/>
    <w:qFormat/>
    <w:rsid w:val="002A7D13"/>
  </w:style>
  <w:style w:type="character" w:customStyle="1" w:styleId="author">
    <w:name w:val="author"/>
    <w:basedOn w:val="DefaultParagraphFont"/>
    <w:qFormat/>
    <w:rsid w:val="00515E5E"/>
  </w:style>
  <w:style w:type="character" w:customStyle="1" w:styleId="pubyear">
    <w:name w:val="pubyear"/>
    <w:basedOn w:val="DefaultParagraphFont"/>
    <w:qFormat/>
    <w:rsid w:val="00515E5E"/>
  </w:style>
  <w:style w:type="character" w:customStyle="1" w:styleId="articletitle">
    <w:name w:val="articletitle"/>
    <w:basedOn w:val="DefaultParagraphFont"/>
    <w:qFormat/>
    <w:rsid w:val="00515E5E"/>
  </w:style>
  <w:style w:type="character" w:customStyle="1" w:styleId="vol">
    <w:name w:val="vol"/>
    <w:basedOn w:val="DefaultParagraphFont"/>
    <w:qFormat/>
    <w:rsid w:val="00515E5E"/>
  </w:style>
  <w:style w:type="character" w:customStyle="1" w:styleId="citedissue">
    <w:name w:val="citedissue"/>
    <w:basedOn w:val="DefaultParagraphFont"/>
    <w:qFormat/>
    <w:rsid w:val="00515E5E"/>
  </w:style>
  <w:style w:type="character" w:customStyle="1" w:styleId="pagefirst">
    <w:name w:val="pagefirst"/>
    <w:basedOn w:val="DefaultParagraphFont"/>
    <w:qFormat/>
    <w:rsid w:val="00515E5E"/>
  </w:style>
  <w:style w:type="character" w:customStyle="1" w:styleId="pagelast">
    <w:name w:val="pagelast"/>
    <w:basedOn w:val="DefaultParagraphFont"/>
    <w:qFormat/>
    <w:rsid w:val="00515E5E"/>
  </w:style>
  <w:style w:type="character" w:styleId="LineNumber">
    <w:name w:val="line number"/>
  </w:style>
  <w:style w:type="character" w:styleId="UnresolvedMention">
    <w:name w:val="Unresolved Mention"/>
    <w:basedOn w:val="DefaultParagraphFont"/>
    <w:uiPriority w:val="99"/>
    <w:semiHidden/>
    <w:unhideWhenUsed/>
    <w:qFormat/>
    <w:rsid w:val="00803FDD"/>
    <w:rPr>
      <w:color w:val="605E5C"/>
      <w:shd w:val="clear" w:color="auto" w:fill="E1DFDD"/>
    </w:rPr>
  </w:style>
  <w:style w:type="character" w:styleId="Emphasis">
    <w:name w:val="Emphasis"/>
    <w:basedOn w:val="DefaultParagraphFont"/>
    <w:uiPriority w:val="20"/>
    <w:qFormat/>
    <w:rsid w:val="007C0E92"/>
    <w:rPr>
      <w:i/>
      <w:iCs/>
    </w:rPr>
  </w:style>
  <w:style w:type="character" w:styleId="PageNumber">
    <w:name w:val="page number"/>
    <w:basedOn w:val="DefaultParagraphFont"/>
    <w:uiPriority w:val="99"/>
    <w:semiHidden/>
    <w:unhideWhenUsed/>
    <w:rsid w:val="005D770F"/>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link w:val="BodyTextChar"/>
    <w:qFormat/>
    <w:pPr>
      <w:spacing w:before="180" w:after="180" w:line="240" w:lineRule="auto"/>
    </w:pPr>
    <w:rPr>
      <w:sz w:val="24"/>
      <w:szCs w:val="24"/>
      <w14:ligatures w14:val="none"/>
    </w:r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NoSpacing">
    <w:name w:val="No Spacing"/>
    <w:uiPriority w:val="1"/>
    <w:qFormat/>
  </w:style>
  <w:style w:type="paragraph" w:customStyle="1" w:styleId="caption1">
    <w:name w:val="caption1"/>
    <w:basedOn w:val="Normal"/>
    <w:next w:val="Normal"/>
    <w:uiPriority w:val="35"/>
    <w:semiHidden/>
    <w:unhideWhenUsed/>
    <w:qFormat/>
    <w:pPr>
      <w:spacing w:line="276" w:lineRule="auto"/>
    </w:pPr>
    <w:rPr>
      <w:b/>
      <w:bCs/>
      <w:color w:val="156082" w:themeColor="accent1"/>
      <w:sz w:val="18"/>
      <w:szCs w:val="18"/>
    </w:rPr>
  </w:style>
  <w:style w:type="paragraph" w:styleId="EndnoteText">
    <w:name w:val="endnote text"/>
    <w:basedOn w:val="Normal"/>
    <w:link w:val="EndnoteTextChar"/>
    <w:uiPriority w:val="99"/>
    <w:semiHidden/>
    <w:unhideWhenUsed/>
    <w:pPr>
      <w:spacing w:after="0" w:line="240" w:lineRule="auto"/>
    </w:pPr>
    <w:rPr>
      <w:sz w:val="20"/>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IndexHeading">
    <w:name w:val="index heading"/>
    <w:basedOn w:val="Heading"/>
  </w:style>
  <w:style w:type="paragraph" w:styleId="TOCHeading">
    <w:name w:val="TOC Heading"/>
    <w:uiPriority w:val="39"/>
    <w:unhideWhenUsed/>
    <w:qFormat/>
    <w:pPr>
      <w:spacing w:after="160" w:line="259" w:lineRule="auto"/>
    </w:pPr>
  </w:style>
  <w:style w:type="paragraph" w:styleId="TableofFigures">
    <w:name w:val="table of figures"/>
    <w:basedOn w:val="Normal"/>
    <w:next w:val="Normal"/>
    <w:uiPriority w:val="99"/>
    <w:unhideWhenUsed/>
    <w:pPr>
      <w:spacing w:after="0"/>
    </w:p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paragraph" w:styleId="ListParagraph">
    <w:name w:val="List Paragraph"/>
    <w:basedOn w:val="Normal"/>
    <w:uiPriority w:val="34"/>
    <w:qFormat/>
    <w:pPr>
      <w:ind w:left="720"/>
      <w:contextualSpacing/>
    </w:p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paragraph" w:styleId="Bibliography">
    <w:name w:val="Bibliography"/>
    <w:basedOn w:val="Normal"/>
    <w:next w:val="Normal"/>
    <w:uiPriority w:val="37"/>
    <w:unhideWhenUsed/>
    <w:qFormat/>
    <w:pPr>
      <w:spacing w:after="0" w:line="240" w:lineRule="auto"/>
      <w:ind w:left="720" w:hanging="720"/>
    </w:pPr>
  </w:style>
  <w:style w:type="paragraph" w:styleId="Revision">
    <w:name w:val="Revision"/>
    <w:uiPriority w:val="99"/>
    <w:semiHidden/>
    <w:qFormat/>
  </w:style>
  <w:style w:type="paragraph" w:styleId="CommentText">
    <w:name w:val="annotation text"/>
    <w:basedOn w:val="Normal"/>
    <w:link w:val="CommentTextChar"/>
    <w:uiPriority w:val="99"/>
    <w:unhideWhenUsed/>
    <w:qFormat/>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paragraph" w:customStyle="1" w:styleId="FirstParagraph">
    <w:name w:val="First Paragraph"/>
    <w:basedOn w:val="BodyText"/>
    <w:next w:val="BodyText"/>
    <w:qFormat/>
  </w:style>
  <w:style w:type="paragraph" w:styleId="FootnoteText">
    <w:name w:val="footnote text"/>
    <w:basedOn w:val="Normal"/>
    <w:link w:val="FootnoteTextChar"/>
    <w:uiPriority w:val="99"/>
    <w:unhideWhenUsed/>
    <w:qFormat/>
    <w:pPr>
      <w:spacing w:after="200" w:line="240" w:lineRule="auto"/>
    </w:pPr>
    <w:rPr>
      <w:sz w:val="24"/>
      <w:szCs w:val="24"/>
      <w14:ligatures w14:val="none"/>
    </w:rPr>
  </w:style>
  <w:style w:type="paragraph" w:customStyle="1" w:styleId="code-line">
    <w:name w:val="code-line"/>
    <w:basedOn w:val="Normal"/>
    <w:qFormat/>
    <w:pPr>
      <w:spacing w:beforeAutospacing="1" w:afterAutospacing="1" w:line="240" w:lineRule="auto"/>
    </w:pPr>
    <w:rPr>
      <w:rFonts w:ascii="Times New Roman" w:eastAsia="Times New Roman" w:hAnsi="Times New Roman" w:cs="Times New Roman"/>
      <w:sz w:val="24"/>
      <w:szCs w:val="24"/>
      <w14:ligatures w14:val="none"/>
    </w:rPr>
  </w:style>
  <w:style w:type="paragraph" w:customStyle="1" w:styleId="HeaderandFooter">
    <w:name w:val="Header and Footer"/>
    <w:basedOn w:val="Normal"/>
    <w:qFormat/>
  </w:style>
  <w:style w:type="paragraph" w:styleId="Header">
    <w:name w:val="header"/>
    <w:basedOn w:val="Normal"/>
    <w:link w:val="HeaderChar"/>
    <w:uiPriority w:val="99"/>
    <w:unhideWhenUsed/>
    <w:pPr>
      <w:tabs>
        <w:tab w:val="center" w:pos="4680"/>
        <w:tab w:val="right" w:pos="9360"/>
      </w:tabs>
      <w:spacing w:after="0" w:line="240" w:lineRule="auto"/>
    </w:p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NormalWeb">
    <w:name w:val="Normal (Web)"/>
    <w:basedOn w:val="Normal"/>
    <w:uiPriority w:val="99"/>
    <w:semiHidden/>
    <w:unhideWhenUsed/>
    <w:qFormat/>
    <w:rsid w:val="009823D9"/>
    <w:pPr>
      <w:spacing w:beforeAutospacing="1" w:afterAutospacing="1" w:line="240" w:lineRule="auto"/>
    </w:pPr>
    <w:rPr>
      <w:rFonts w:ascii="Times New Roman" w:eastAsia="Times New Roman" w:hAnsi="Times New Roman" w:cs="Times New Roman"/>
      <w:sz w:val="24"/>
      <w:szCs w:val="24"/>
      <w14:ligatures w14:val="none"/>
    </w:rPr>
  </w:style>
  <w:style w:type="paragraph" w:customStyle="1" w:styleId="Compact">
    <w:name w:val="Compact"/>
    <w:basedOn w:val="BodyText"/>
    <w:qFormat/>
    <w:rsid w:val="00D57DF7"/>
    <w:pPr>
      <w:suppressAutoHyphens w:val="0"/>
      <w:spacing w:before="36" w:after="36"/>
    </w:pPr>
  </w:style>
  <w:style w:type="paragraph" w:customStyle="1" w:styleId="Standard">
    <w:name w:val="Standard"/>
    <w:qFormat/>
    <w:rsid w:val="009556DF"/>
    <w:pPr>
      <w:spacing w:line="276" w:lineRule="auto"/>
      <w:textAlignment w:val="baseline"/>
    </w:pPr>
    <w:rPr>
      <w:rFonts w:ascii="Arial" w:eastAsia="Arial" w:hAnsi="Arial" w:cs="Arial"/>
      <w14:ligatures w14:val="none"/>
    </w:rPr>
  </w:style>
  <w:style w:type="paragraph" w:customStyle="1" w:styleId="FrameContents">
    <w:name w:val="Frame Contents"/>
    <w:basedOn w:val="Normal"/>
    <w:qFormat/>
  </w:style>
  <w:style w:type="paragraph" w:customStyle="1" w:styleId="FrameContentsuser">
    <w:name w:val="Frame Contents (user)"/>
    <w:basedOn w:val="Normal"/>
    <w:qFormat/>
  </w:style>
  <w:style w:type="paragraph" w:customStyle="1" w:styleId="Comment">
    <w:name w:val="Comment"/>
    <w:basedOn w:val="Normal"/>
    <w:qFormat/>
    <w:pPr>
      <w:spacing w:before="56" w:after="0"/>
      <w:ind w:left="56" w:right="56"/>
    </w:pPr>
    <w:rPr>
      <w:sz w:val="20"/>
      <w:szCs w:val="20"/>
    </w:rPr>
  </w:style>
  <w:style w:type="table" w:styleId="TableGridLight">
    <w:name w:val="Grid Table Light"/>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b/>
        <w:sz w:val="22"/>
      </w:rPr>
    </w:tblStylePr>
    <w:tblStylePr w:type="lastRow">
      <w:rPr>
        <w:b/>
        <w:sz w:val="22"/>
      </w:rPr>
    </w:tblStylePr>
    <w:tblStylePr w:type="firstCol">
      <w:rPr>
        <w:b/>
        <w:sz w:val="22"/>
      </w:rPr>
    </w:tblStylePr>
    <w:tblStylePr w:type="lastCol">
      <w:rPr>
        <w:b/>
        <w:sz w:val="22"/>
      </w:rPr>
    </w:tblStylePr>
    <w:tblStylePr w:type="band1Vert">
      <w:tblPr/>
      <w:tcPr>
        <w:shd w:val="clear" w:color="F2F2F2" w:fill="F2F2F2" w:themeFill="text1" w:themeFillTint="0D"/>
      </w:tcPr>
    </w:tblStylePr>
    <w:tblStylePr w:type="band1Horz">
      <w:tblPr/>
      <w:tcPr>
        <w:shd w:val="clear" w:color="F2F2F2" w:fill="F2F2F2" w:themeFill="text1" w:themeFillTint="0D"/>
      </w:tcPr>
    </w:tblStylePr>
  </w:style>
  <w:style w:type="table" w:styleId="PlainTable2">
    <w:name w:val="Plain Table 2"/>
    <w:basedOn w:val="Table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b/>
        <w:sz w:val="22"/>
      </w:rPr>
      <w:tblPr/>
      <w:tcPr>
        <w:tcBorders>
          <w:top w:val="single" w:sz="4" w:space="0" w:color="000000" w:themeColor="text1"/>
          <w:bottom w:val="single" w:sz="4" w:space="0" w:color="000000" w:themeColor="text1"/>
        </w:tcBorders>
      </w:tcPr>
    </w:tblStylePr>
    <w:tblStylePr w:type="lastRow">
      <w:rPr>
        <w:b/>
        <w:sz w:val="22"/>
      </w:rPr>
    </w:tblStylePr>
    <w:tblStylePr w:type="firstCol">
      <w:rPr>
        <w:b/>
        <w:sz w:val="22"/>
      </w:rPr>
    </w:tblStylePr>
    <w:tblStylePr w:type="lastCol">
      <w:rPr>
        <w:b/>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tblPr>
      <w:tblStyleRowBandSize w:val="1"/>
      <w:tblStyleColBandSize w:val="1"/>
    </w:tblPr>
    <w:tblStylePr w:type="firstRow">
      <w:rPr>
        <w:b/>
        <w:caps/>
      </w:rPr>
      <w:tblPr/>
      <w:tcPr>
        <w:tcBorders>
          <w:top w:val="none" w:sz="4" w:space="0" w:color="000000"/>
          <w:left w:val="none" w:sz="4" w:space="0" w:color="000000"/>
          <w:bottom w:val="single" w:sz="4" w:space="0" w:color="404040"/>
          <w:right w:val="none" w:sz="4" w:space="0" w:color="000000"/>
        </w:tcBorders>
      </w:tcPr>
    </w:tblStylePr>
    <w:tblStylePr w:type="lastRow">
      <w:rPr>
        <w:b/>
        <w:caps/>
      </w:rPr>
    </w:tblStylePr>
    <w:tblStylePr w:type="firstCol">
      <w:rPr>
        <w:b/>
        <w:caps/>
      </w:rPr>
      <w:tblPr/>
      <w:tcPr>
        <w:tcBorders>
          <w:top w:val="none" w:sz="4" w:space="0" w:color="000000"/>
          <w:left w:val="none" w:sz="4" w:space="0" w:color="000000"/>
          <w:bottom w:val="none" w:sz="4" w:space="0" w:color="000000"/>
          <w:right w:val="single" w:sz="4" w:space="0" w:color="404040"/>
        </w:tcBorders>
      </w:tcPr>
    </w:tblStylePr>
    <w:tblStylePr w:type="lastCol">
      <w:rPr>
        <w:b/>
        <w:caps/>
      </w:r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styleId="PlainTable4">
    <w:name w:val="Plain Table 4"/>
    <w:basedOn w:val="TableNormal"/>
    <w:uiPriority w:val="99"/>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styleId="PlainTable5">
    <w:name w:val="Plain Table 5"/>
    <w:basedOn w:val="TableNormal"/>
    <w:uiPriority w:val="99"/>
    <w:tblPr>
      <w:tblStyleRowBandSize w:val="1"/>
      <w:tblStyleColBandSize w:val="1"/>
    </w:tblPr>
    <w:tblStylePr w:type="firstRow">
      <w:rPr>
        <w:i/>
      </w:rPr>
      <w:tblPr/>
      <w:tcPr>
        <w:tcBorders>
          <w:left w:val="none" w:sz="4" w:space="0" w:color="000000"/>
          <w:bottom w:val="single" w:sz="4" w:space="0" w:color="404040"/>
          <w:right w:val="none" w:sz="4" w:space="0" w:color="000000"/>
        </w:tcBorders>
        <w:shd w:val="clear" w:color="FFFFFF" w:fill="auto"/>
      </w:tcPr>
    </w:tblStylePr>
    <w:tblStylePr w:type="lastRow">
      <w:rPr>
        <w:i/>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rPr>
      <w:tblPr/>
      <w:tcPr>
        <w:tcBorders>
          <w:right w:val="single" w:sz="4" w:space="0" w:color="404040"/>
        </w:tcBorders>
        <w:shd w:val="clear" w:color="FFFFFF" w:fill="auto"/>
      </w:tcPr>
    </w:tblStylePr>
    <w:tblStylePr w:type="lastCol">
      <w:rPr>
        <w:i/>
      </w:rPr>
      <w:tblPr/>
      <w:tcPr>
        <w:tcBorders>
          <w:left w:val="single" w:sz="4" w:space="0" w:color="404040"/>
        </w:tcBorders>
        <w:shd w:val="clear" w:color="FFFFFF" w:fill="auto"/>
      </w:tcPr>
    </w:tblStylePr>
    <w:tblStylePr w:type="band1Vert">
      <w:rPr>
        <w:sz w:val="22"/>
      </w:rPr>
      <w:tblPr/>
      <w:tcPr>
        <w:shd w:val="clear" w:color="F2F2F2" w:fill="F2F2F2" w:themeFill="text1" w:themeFillTint="0D"/>
      </w:tcPr>
    </w:tblStylePr>
    <w:tblStylePr w:type="band1Horz">
      <w:rPr>
        <w:sz w:val="22"/>
      </w:rPr>
      <w:tblPr/>
      <w:tcPr>
        <w:shd w:val="clear" w:color="F2F2F2" w:fill="F2F2F2" w:themeFill="text1" w:themeFillTint="0D"/>
      </w:tcPr>
    </w:tblStylePr>
  </w:style>
  <w:style w:type="table" w:styleId="GridTable1Light">
    <w:name w:val="Grid Table 1 Light"/>
    <w:basedOn w:val="Table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rPr>
      <w:tblPr/>
      <w:tcPr>
        <w:tcBorders>
          <w:bottom w:val="single" w:sz="12" w:space="0" w:color="000000" w:themeColor="text1"/>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styleId="GridTable1Light-Accent1">
    <w:name w:val="Grid Table 1 Light Accent 1"/>
    <w:basedOn w:val="TableNormal"/>
    <w:uiPriority w:val="99"/>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b/>
      </w:rPr>
      <w:tblPr/>
      <w:tcPr>
        <w:tcBorders>
          <w:bottom w:val="single" w:sz="12" w:space="0" w:color="156082" w:themeColor="accent1"/>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tblStylePr>
  </w:style>
  <w:style w:type="table" w:styleId="GridTable1Light-Accent2">
    <w:name w:val="Grid Table 1 Light Accent 2"/>
    <w:basedOn w:val="TableNormal"/>
    <w:uiPriority w:val="99"/>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b/>
      </w:rPr>
      <w:tblPr/>
      <w:tcPr>
        <w:tcBorders>
          <w:bottom w:val="single" w:sz="12" w:space="0" w:color="E97132" w:themeColor="accent2"/>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tcBorders>
      </w:tcPr>
    </w:tblStylePr>
  </w:style>
  <w:style w:type="table" w:styleId="GridTable1Light-Accent3">
    <w:name w:val="Grid Table 1 Light Accent 3"/>
    <w:basedOn w:val="TableNormal"/>
    <w:uiPriority w:val="99"/>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b/>
      </w:rPr>
      <w:tblPr/>
      <w:tcPr>
        <w:tcBorders>
          <w:bottom w:val="single" w:sz="12" w:space="0" w:color="196B24" w:themeColor="accent3"/>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tcBorders>
      </w:tcPr>
    </w:tblStylePr>
  </w:style>
  <w:style w:type="table" w:styleId="GridTable1Light-Accent4">
    <w:name w:val="Grid Table 1 Light Accent 4"/>
    <w:basedOn w:val="TableNormal"/>
    <w:uiPriority w:val="99"/>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b/>
      </w:rPr>
      <w:tblPr/>
      <w:tcPr>
        <w:tcBorders>
          <w:bottom w:val="single" w:sz="12" w:space="0" w:color="0F9ED5" w:themeColor="accent4"/>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tcBorders>
      </w:tcPr>
    </w:tblStylePr>
  </w:style>
  <w:style w:type="table" w:styleId="GridTable1Light-Accent5">
    <w:name w:val="Grid Table 1 Light Accent 5"/>
    <w:basedOn w:val="TableNormal"/>
    <w:uiPriority w:val="99"/>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b/>
      </w:rPr>
      <w:tblPr/>
      <w:tcPr>
        <w:tcBorders>
          <w:bottom w:val="single" w:sz="12" w:space="0" w:color="A02B93" w:themeColor="accent5"/>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tcBorders>
      </w:tcPr>
    </w:tblStylePr>
  </w:style>
  <w:style w:type="table" w:styleId="GridTable1Light-Accent6">
    <w:name w:val="Grid Table 1 Light Accent 6"/>
    <w:basedOn w:val="TableNormal"/>
    <w:uiPriority w:val="99"/>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b/>
      </w:rPr>
      <w:tblPr/>
      <w:tcPr>
        <w:tcBorders>
          <w:bottom w:val="single" w:sz="12" w:space="0" w:color="4EA72E" w:themeColor="accent6"/>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tcBorders>
      </w:tcPr>
    </w:tblStylePr>
  </w:style>
  <w:style w:type="table" w:styleId="GridTable2">
    <w:name w:val="Grid Table 2"/>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rPr>
      <w:tblPr/>
      <w:tcPr>
        <w:tcBorders>
          <w:top w:val="none" w:sz="4" w:space="0" w:color="000000"/>
          <w:left w:val="none" w:sz="4" w:space="0" w:color="000000"/>
          <w:bottom w:val="single" w:sz="12" w:space="0" w:color="000000" w:themeColor="text1"/>
          <w:right w:val="none" w:sz="4" w:space="0" w:color="000000"/>
        </w:tcBorders>
        <w:shd w:val="clear" w:color="FFFFFF" w:fill="auto"/>
      </w:tcPr>
    </w:tblStylePr>
    <w:tblStylePr w:type="lastRow">
      <w:rPr>
        <w:b/>
      </w:rPr>
      <w:tblPr/>
      <w:tcPr>
        <w:tcBorders>
          <w:top w:val="single" w:sz="4" w:space="0" w:color="000000" w:themeColor="text1"/>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styleId="GridTable2-Accent1">
    <w:name w:val="Grid Table 2 Accent 1"/>
    <w:basedOn w:val="TableNormal"/>
    <w:uiPriority w:val="99"/>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rPr>
      <w:tblPr/>
      <w:tcPr>
        <w:tcBorders>
          <w:top w:val="none" w:sz="4" w:space="0" w:color="000000"/>
          <w:left w:val="none" w:sz="4" w:space="0" w:color="000000"/>
          <w:bottom w:val="single" w:sz="12" w:space="0" w:color="156082" w:themeColor="accent1"/>
          <w:right w:val="none" w:sz="4" w:space="0" w:color="000000"/>
        </w:tcBorders>
        <w:shd w:val="clear" w:color="FFFFFF" w:fill="auto"/>
      </w:tcPr>
    </w:tblStylePr>
    <w:tblStylePr w:type="lastRow">
      <w:rPr>
        <w:b/>
      </w:rPr>
      <w:tblPr/>
      <w:tcPr>
        <w:tcBorders>
          <w:top w:val="single" w:sz="4" w:space="0" w:color="156082" w:themeColor="accent1"/>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BFE4F4" w:fill="BFE4F4" w:themeFill="accent1" w:themeFillTint="34"/>
      </w:tcPr>
    </w:tblStylePr>
    <w:tblStylePr w:type="band1Horz">
      <w:rPr>
        <w:sz w:val="22"/>
      </w:rPr>
      <w:tblPr/>
      <w:tcPr>
        <w:shd w:val="clear" w:color="BFE4F4" w:fill="BFE4F4" w:themeFill="accent1" w:themeFillTint="34"/>
      </w:tcPr>
    </w:tblStylePr>
  </w:style>
  <w:style w:type="table" w:styleId="GridTable2-Accent2">
    <w:name w:val="Grid Table 2 Accent 2"/>
    <w:basedOn w:val="TableNormal"/>
    <w:uiPriority w:val="99"/>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rPr>
      <w:tblPr/>
      <w:tcPr>
        <w:tcBorders>
          <w:top w:val="none" w:sz="4" w:space="0" w:color="000000"/>
          <w:left w:val="none" w:sz="4" w:space="0" w:color="000000"/>
          <w:bottom w:val="single" w:sz="12" w:space="0" w:color="E97132" w:themeColor="accent2"/>
          <w:right w:val="none" w:sz="4" w:space="0" w:color="000000"/>
        </w:tcBorders>
        <w:shd w:val="clear" w:color="FFFFFF" w:fill="auto"/>
      </w:tcPr>
    </w:tblStylePr>
    <w:tblStylePr w:type="lastRow">
      <w:rPr>
        <w:b/>
      </w:rPr>
      <w:tblPr/>
      <w:tcPr>
        <w:tcBorders>
          <w:top w:val="single" w:sz="4" w:space="0" w:color="E97132" w:themeColor="accent2"/>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AE2D6" w:fill="FAE2D6" w:themeFill="accent2" w:themeFillTint="32"/>
      </w:tcPr>
    </w:tblStylePr>
    <w:tblStylePr w:type="band1Horz">
      <w:rPr>
        <w:sz w:val="22"/>
      </w:rPr>
      <w:tblPr/>
      <w:tcPr>
        <w:shd w:val="clear" w:color="FAE2D6" w:fill="FAE2D6" w:themeFill="accent2" w:themeFillTint="32"/>
      </w:tcPr>
    </w:tblStylePr>
  </w:style>
  <w:style w:type="table" w:styleId="GridTable2-Accent3">
    <w:name w:val="Grid Table 2 Accent 3"/>
    <w:basedOn w:val="TableNormal"/>
    <w:uiPriority w:val="99"/>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rPr>
      <w:tblPr/>
      <w:tcPr>
        <w:tcBorders>
          <w:top w:val="none" w:sz="4" w:space="0" w:color="000000"/>
          <w:left w:val="none" w:sz="4" w:space="0" w:color="000000"/>
          <w:bottom w:val="single" w:sz="12" w:space="0" w:color="196B24" w:themeColor="accent3"/>
          <w:right w:val="none" w:sz="4" w:space="0" w:color="000000"/>
        </w:tcBorders>
        <w:shd w:val="clear" w:color="FFFFFF" w:fill="auto"/>
      </w:tcPr>
    </w:tblStylePr>
    <w:tblStylePr w:type="lastRow">
      <w:rPr>
        <w:b/>
      </w:rPr>
      <w:tblPr/>
      <w:tcPr>
        <w:tcBorders>
          <w:top w:val="single" w:sz="4" w:space="0" w:color="196B24" w:themeColor="accent3"/>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C0F0C6" w:fill="C0F0C6" w:themeFill="accent3" w:themeFillTint="34"/>
      </w:tcPr>
    </w:tblStylePr>
    <w:tblStylePr w:type="band1Horz">
      <w:rPr>
        <w:sz w:val="22"/>
      </w:rPr>
      <w:tblPr/>
      <w:tcPr>
        <w:shd w:val="clear" w:color="C0F0C6" w:fill="C0F0C6" w:themeFill="accent3" w:themeFillTint="34"/>
      </w:tcPr>
    </w:tblStylePr>
  </w:style>
  <w:style w:type="table" w:styleId="GridTable2-Accent4">
    <w:name w:val="Grid Table 2 Accent 4"/>
    <w:basedOn w:val="TableNormal"/>
    <w:uiPriority w:val="99"/>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rPr>
      <w:tblPr/>
      <w:tcPr>
        <w:tcBorders>
          <w:top w:val="none" w:sz="4" w:space="0" w:color="000000"/>
          <w:left w:val="none" w:sz="4" w:space="0" w:color="000000"/>
          <w:bottom w:val="single" w:sz="12" w:space="0" w:color="0F9ED5" w:themeColor="accent4"/>
          <w:right w:val="none" w:sz="4" w:space="0" w:color="000000"/>
        </w:tcBorders>
        <w:shd w:val="clear" w:color="FFFFFF" w:fill="auto"/>
      </w:tcPr>
    </w:tblStylePr>
    <w:tblStylePr w:type="lastRow">
      <w:rPr>
        <w:b/>
      </w:rPr>
      <w:tblPr/>
      <w:tcPr>
        <w:tcBorders>
          <w:top w:val="single" w:sz="4" w:space="0" w:color="0F9ED5" w:themeColor="accent4"/>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C9EDFB" w:fill="C9EDFB" w:themeFill="accent4" w:themeFillTint="34"/>
      </w:tcPr>
    </w:tblStylePr>
    <w:tblStylePr w:type="band1Horz">
      <w:rPr>
        <w:sz w:val="22"/>
      </w:rPr>
      <w:tblPr/>
      <w:tcPr>
        <w:shd w:val="clear" w:color="C9EDFB" w:fill="C9EDFB" w:themeFill="accent4" w:themeFillTint="34"/>
      </w:tcPr>
    </w:tblStylePr>
  </w:style>
  <w:style w:type="table" w:styleId="GridTable2-Accent5">
    <w:name w:val="Grid Table 2 Accent 5"/>
    <w:basedOn w:val="TableNormal"/>
    <w:uiPriority w:val="99"/>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rPr>
      <w:tblPr/>
      <w:tcPr>
        <w:tcBorders>
          <w:top w:val="none" w:sz="4" w:space="0" w:color="000000"/>
          <w:left w:val="none" w:sz="4" w:space="0" w:color="000000"/>
          <w:bottom w:val="single" w:sz="12" w:space="0" w:color="A02B93" w:themeColor="accent5"/>
          <w:right w:val="none" w:sz="4" w:space="0" w:color="000000"/>
        </w:tcBorders>
        <w:shd w:val="clear" w:color="FFFFFF" w:fill="auto"/>
      </w:tcPr>
    </w:tblStylePr>
    <w:tblStylePr w:type="lastRow">
      <w:rPr>
        <w:b/>
      </w:rPr>
      <w:tblPr/>
      <w:tcPr>
        <w:tcBorders>
          <w:top w:val="single" w:sz="4" w:space="0" w:color="A02B93" w:themeColor="accent5"/>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1CDED" w:fill="F1CDED" w:themeFill="accent5" w:themeFillTint="34"/>
      </w:tcPr>
    </w:tblStylePr>
    <w:tblStylePr w:type="band1Horz">
      <w:rPr>
        <w:sz w:val="22"/>
      </w:rPr>
      <w:tblPr/>
      <w:tcPr>
        <w:shd w:val="clear" w:color="F1CDED" w:fill="F1CDED" w:themeFill="accent5" w:themeFillTint="34"/>
      </w:tcPr>
    </w:tblStylePr>
  </w:style>
  <w:style w:type="table" w:styleId="GridTable2-Accent6">
    <w:name w:val="Grid Table 2 Accent 6"/>
    <w:basedOn w:val="TableNormal"/>
    <w:uiPriority w:val="99"/>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rPr>
      <w:tblPr/>
      <w:tcPr>
        <w:tcBorders>
          <w:top w:val="none" w:sz="4" w:space="0" w:color="000000"/>
          <w:left w:val="none" w:sz="4" w:space="0" w:color="000000"/>
          <w:bottom w:val="single" w:sz="12" w:space="0" w:color="4EA72E" w:themeColor="accent6"/>
          <w:right w:val="none" w:sz="4" w:space="0" w:color="000000"/>
        </w:tcBorders>
        <w:shd w:val="clear" w:color="FFFFFF" w:fill="auto"/>
      </w:tcPr>
    </w:tblStylePr>
    <w:tblStylePr w:type="lastRow">
      <w:rPr>
        <w:b/>
      </w:rPr>
      <w:tblPr/>
      <w:tcPr>
        <w:tcBorders>
          <w:top w:val="single" w:sz="4" w:space="0" w:color="4EA72E" w:themeColor="accent6"/>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D8F2CF" w:fill="D8F2CF" w:themeFill="accent6" w:themeFillTint="34"/>
      </w:tcPr>
    </w:tblStylePr>
    <w:tblStylePr w:type="band1Horz">
      <w:rPr>
        <w:sz w:val="22"/>
      </w:rPr>
      <w:tblPr/>
      <w:tcPr>
        <w:shd w:val="clear" w:color="D8F2CF" w:fill="D8F2CF" w:themeFill="accent6" w:themeFillTint="34"/>
      </w:tcPr>
    </w:tblStylePr>
  </w:style>
  <w:style w:type="table" w:styleId="GridTable3">
    <w:name w:val="Grid Table 3"/>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styleId="GridTable3-Accent1">
    <w:name w:val="Grid Table 3 Accent 1"/>
    <w:basedOn w:val="TableNormal"/>
    <w:uiPriority w:val="99"/>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BFE4F4" w:fill="BFE4F4" w:themeFill="accent1" w:themeFillTint="34"/>
      </w:tcPr>
    </w:tblStylePr>
    <w:tblStylePr w:type="band1Horz">
      <w:rPr>
        <w:sz w:val="22"/>
      </w:rPr>
      <w:tblPr/>
      <w:tcPr>
        <w:shd w:val="clear" w:color="BFE4F4" w:fill="BFE4F4" w:themeFill="accent1" w:themeFillTint="34"/>
      </w:tcPr>
    </w:tblStylePr>
  </w:style>
  <w:style w:type="table" w:styleId="GridTable3-Accent2">
    <w:name w:val="Grid Table 3 Accent 2"/>
    <w:basedOn w:val="TableNormal"/>
    <w:uiPriority w:val="99"/>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AE2D6" w:fill="FAE2D6" w:themeFill="accent2" w:themeFillTint="32"/>
      </w:tcPr>
    </w:tblStylePr>
    <w:tblStylePr w:type="band1Horz">
      <w:rPr>
        <w:sz w:val="22"/>
      </w:rPr>
      <w:tblPr/>
      <w:tcPr>
        <w:shd w:val="clear" w:color="FAE2D6" w:fill="FAE2D6" w:themeFill="accent2" w:themeFillTint="32"/>
      </w:tcPr>
    </w:tblStylePr>
  </w:style>
  <w:style w:type="table" w:styleId="GridTable3-Accent3">
    <w:name w:val="Grid Table 3 Accent 3"/>
    <w:basedOn w:val="TableNormal"/>
    <w:uiPriority w:val="99"/>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C0F0C6" w:fill="C0F0C6" w:themeFill="accent3" w:themeFillTint="34"/>
      </w:tcPr>
    </w:tblStylePr>
    <w:tblStylePr w:type="band1Horz">
      <w:rPr>
        <w:sz w:val="22"/>
      </w:rPr>
      <w:tblPr/>
      <w:tcPr>
        <w:shd w:val="clear" w:color="C0F0C6" w:fill="C0F0C6" w:themeFill="accent3" w:themeFillTint="34"/>
      </w:tcPr>
    </w:tblStylePr>
  </w:style>
  <w:style w:type="table" w:styleId="GridTable3-Accent4">
    <w:name w:val="Grid Table 3 Accent 4"/>
    <w:basedOn w:val="TableNormal"/>
    <w:uiPriority w:val="99"/>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C9EDFB" w:fill="C9EDFB" w:themeFill="accent4" w:themeFillTint="34"/>
      </w:tcPr>
    </w:tblStylePr>
    <w:tblStylePr w:type="band1Horz">
      <w:rPr>
        <w:sz w:val="22"/>
      </w:rPr>
      <w:tblPr/>
      <w:tcPr>
        <w:shd w:val="clear" w:color="C9EDFB" w:fill="C9EDFB" w:themeFill="accent4" w:themeFillTint="34"/>
      </w:tcPr>
    </w:tblStylePr>
  </w:style>
  <w:style w:type="table" w:styleId="GridTable3-Accent5">
    <w:name w:val="Grid Table 3 Accent 5"/>
    <w:basedOn w:val="TableNormal"/>
    <w:uiPriority w:val="99"/>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1CDED" w:fill="F1CDED" w:themeFill="accent5" w:themeFillTint="34"/>
      </w:tcPr>
    </w:tblStylePr>
    <w:tblStylePr w:type="band1Horz">
      <w:rPr>
        <w:sz w:val="22"/>
      </w:rPr>
      <w:tblPr/>
      <w:tcPr>
        <w:shd w:val="clear" w:color="F1CDED" w:fill="F1CDED" w:themeFill="accent5" w:themeFillTint="34"/>
      </w:tcPr>
    </w:tblStylePr>
  </w:style>
  <w:style w:type="table" w:styleId="GridTable3-Accent6">
    <w:name w:val="Grid Table 3 Accent 6"/>
    <w:basedOn w:val="TableNormal"/>
    <w:uiPriority w:val="99"/>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D8F2CF" w:fill="D8F2CF" w:themeFill="accent6" w:themeFillTint="34"/>
      </w:tcPr>
    </w:tblStylePr>
    <w:tblStylePr w:type="band1Horz">
      <w:rPr>
        <w:sz w:val="22"/>
      </w:rPr>
      <w:tblPr/>
      <w:tcPr>
        <w:shd w:val="clear" w:color="D8F2CF" w:fill="D8F2CF" w:themeFill="accent6" w:themeFillTint="34"/>
      </w:tcPr>
    </w:tblStylePr>
  </w:style>
  <w:style w:type="table" w:styleId="GridTable4">
    <w:name w:val="Grid Table 4"/>
    <w:basedOn w:val="Table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b/>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fill="000000" w:themeFill="text1"/>
      </w:tcPr>
    </w:tblStylePr>
    <w:tblStylePr w:type="lastRow">
      <w:rPr>
        <w:b/>
      </w:rPr>
      <w:tblPr/>
      <w:tcPr>
        <w:tcBorders>
          <w:top w:val="single" w:sz="4" w:space="0" w:color="000000" w:themeColor="text1"/>
        </w:tcBorders>
      </w:tcPr>
    </w:tblStylePr>
    <w:tblStylePr w:type="firstCol">
      <w:rPr>
        <w:b/>
      </w:rPr>
    </w:tblStylePr>
    <w:tblStylePr w:type="lastCol">
      <w:rPr>
        <w:b/>
      </w:r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styleId="GridTable4-Accent1">
    <w:name w:val="Grid Table 4 Accent 1"/>
    <w:basedOn w:val="TableNormal"/>
    <w:uiPriority w:val="59"/>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insideV w:val="single" w:sz="4" w:space="0" w:color="50B4E2" w:themeColor="accent1" w:themeTint="90"/>
      </w:tblBorders>
    </w:tblPr>
    <w:tblStylePr w:type="firstRow">
      <w:rPr>
        <w:b/>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tcBorders>
        <w:shd w:val="clear" w:color="19729B" w:fill="19729B" w:themeFill="accent1" w:themeFillTint="EA"/>
      </w:tcPr>
    </w:tblStylePr>
    <w:tblStylePr w:type="lastRow">
      <w:rPr>
        <w:b/>
      </w:rPr>
      <w:tblPr/>
      <w:tcPr>
        <w:tcBorders>
          <w:top w:val="single" w:sz="4" w:space="0" w:color="156082" w:themeColor="accent1"/>
        </w:tcBorders>
      </w:tcPr>
    </w:tblStylePr>
    <w:tblStylePr w:type="firstCol">
      <w:rPr>
        <w:b/>
      </w:rPr>
    </w:tblStylePr>
    <w:tblStylePr w:type="lastCol">
      <w:rPr>
        <w:b/>
      </w:rPr>
    </w:tblStylePr>
    <w:tblStylePr w:type="band1Vert">
      <w:rPr>
        <w:sz w:val="22"/>
      </w:rPr>
      <w:tblPr/>
      <w:tcPr>
        <w:shd w:val="clear" w:color="C2E5F5" w:fill="C2E5F5" w:themeFill="accent1" w:themeFillTint="32"/>
      </w:tcPr>
    </w:tblStylePr>
    <w:tblStylePr w:type="band1Horz">
      <w:rPr>
        <w:sz w:val="22"/>
      </w:rPr>
      <w:tblPr/>
      <w:tcPr>
        <w:shd w:val="clear" w:color="C2E5F5" w:fill="C2E5F5" w:themeFill="accent1" w:themeFillTint="32"/>
      </w:tcPr>
    </w:tblStylePr>
  </w:style>
  <w:style w:type="table" w:styleId="GridTable4-Accent2">
    <w:name w:val="Grid Table 4 Accent 2"/>
    <w:basedOn w:val="TableNormal"/>
    <w:uiPriority w:val="59"/>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insideV w:val="single" w:sz="4" w:space="0" w:color="F2AE8B" w:themeColor="accent2" w:themeTint="90"/>
      </w:tblBorders>
    </w:tblPr>
    <w:tblStylePr w:type="firstRow">
      <w:rPr>
        <w:b/>
        <w:sz w:val="22"/>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tcBorders>
        <w:shd w:val="clear" w:color="F2AA85" w:fill="F2AA85" w:themeFill="accent2" w:themeFillTint="97"/>
      </w:tcPr>
    </w:tblStylePr>
    <w:tblStylePr w:type="lastRow">
      <w:rPr>
        <w:b/>
      </w:rPr>
      <w:tblPr/>
      <w:tcPr>
        <w:tcBorders>
          <w:top w:val="single" w:sz="4" w:space="0" w:color="E97132" w:themeColor="accent2"/>
        </w:tcBorders>
      </w:tcPr>
    </w:tblStylePr>
    <w:tblStylePr w:type="firstCol">
      <w:rPr>
        <w:b/>
      </w:rPr>
    </w:tblStylePr>
    <w:tblStylePr w:type="lastCol">
      <w:rPr>
        <w:b/>
      </w:rPr>
    </w:tblStylePr>
    <w:tblStylePr w:type="band1Vert">
      <w:rPr>
        <w:sz w:val="22"/>
      </w:rPr>
      <w:tblPr/>
      <w:tcPr>
        <w:shd w:val="clear" w:color="FAE2D6" w:fill="FAE2D6" w:themeFill="accent2" w:themeFillTint="32"/>
      </w:tcPr>
    </w:tblStylePr>
    <w:tblStylePr w:type="band1Horz">
      <w:rPr>
        <w:sz w:val="22"/>
      </w:rPr>
      <w:tblPr/>
      <w:tcPr>
        <w:shd w:val="clear" w:color="FAE2D6" w:fill="FAE2D6" w:themeFill="accent2" w:themeFillTint="32"/>
      </w:tcPr>
    </w:tblStylePr>
  </w:style>
  <w:style w:type="table" w:styleId="GridTable4-Accent3">
    <w:name w:val="Grid Table 4 Accent 3"/>
    <w:basedOn w:val="TableNormal"/>
    <w:uiPriority w:val="59"/>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insideV w:val="single" w:sz="4" w:space="0" w:color="51D663" w:themeColor="accent3" w:themeTint="90"/>
      </w:tblBorders>
    </w:tblPr>
    <w:tblStylePr w:type="firstRow">
      <w:rPr>
        <w:b/>
        <w:sz w:val="22"/>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tcBorders>
        <w:shd w:val="clear" w:color="196C24" w:fill="196C24" w:themeFill="accent3" w:themeFillTint="FE"/>
      </w:tcPr>
    </w:tblStylePr>
    <w:tblStylePr w:type="lastRow">
      <w:rPr>
        <w:b/>
      </w:rPr>
      <w:tblPr/>
      <w:tcPr>
        <w:tcBorders>
          <w:top w:val="single" w:sz="4" w:space="0" w:color="196B24" w:themeColor="accent3"/>
        </w:tcBorders>
      </w:tcPr>
    </w:tblStylePr>
    <w:tblStylePr w:type="firstCol">
      <w:rPr>
        <w:b/>
      </w:rPr>
    </w:tblStylePr>
    <w:tblStylePr w:type="lastCol">
      <w:rPr>
        <w:b/>
      </w:rPr>
    </w:tblStylePr>
    <w:tblStylePr w:type="band1Vert">
      <w:rPr>
        <w:sz w:val="22"/>
      </w:rPr>
      <w:tblPr/>
      <w:tcPr>
        <w:shd w:val="clear" w:color="C0F0C6" w:fill="C0F0C6" w:themeFill="accent3" w:themeFillTint="34"/>
      </w:tcPr>
    </w:tblStylePr>
    <w:tblStylePr w:type="band1Horz">
      <w:rPr>
        <w:sz w:val="22"/>
      </w:rPr>
      <w:tblPr/>
      <w:tcPr>
        <w:shd w:val="clear" w:color="C0F0C6" w:fill="C0F0C6" w:themeFill="accent3" w:themeFillTint="34"/>
      </w:tcPr>
    </w:tblStylePr>
  </w:style>
  <w:style w:type="table" w:styleId="GridTable4-Accent4">
    <w:name w:val="Grid Table 4 Accent 4"/>
    <w:basedOn w:val="TableNormal"/>
    <w:uiPriority w:val="59"/>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insideV w:val="single" w:sz="4" w:space="0" w:color="6ACDF4" w:themeColor="accent4" w:themeTint="90"/>
      </w:tblBorders>
    </w:tblPr>
    <w:tblStylePr w:type="firstRow">
      <w:rPr>
        <w:b/>
        <w:sz w:val="22"/>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tcBorders>
        <w:shd w:val="clear" w:color="5FCAF3" w:fill="5FCAF3" w:themeFill="accent4" w:themeFillTint="9A"/>
      </w:tcPr>
    </w:tblStylePr>
    <w:tblStylePr w:type="lastRow">
      <w:rPr>
        <w:b/>
      </w:rPr>
      <w:tblPr/>
      <w:tcPr>
        <w:tcBorders>
          <w:top w:val="single" w:sz="4" w:space="0" w:color="0F9ED5" w:themeColor="accent4"/>
        </w:tcBorders>
      </w:tcPr>
    </w:tblStylePr>
    <w:tblStylePr w:type="firstCol">
      <w:rPr>
        <w:b/>
      </w:rPr>
    </w:tblStylePr>
    <w:tblStylePr w:type="lastCol">
      <w:rPr>
        <w:b/>
      </w:rPr>
    </w:tblStylePr>
    <w:tblStylePr w:type="band1Vert">
      <w:rPr>
        <w:sz w:val="22"/>
      </w:rPr>
      <w:tblPr/>
      <w:tcPr>
        <w:shd w:val="clear" w:color="C9EDFB" w:fill="C9EDFB" w:themeFill="accent4" w:themeFillTint="34"/>
      </w:tcPr>
    </w:tblStylePr>
    <w:tblStylePr w:type="band1Horz">
      <w:rPr>
        <w:sz w:val="22"/>
      </w:rPr>
      <w:tblPr/>
      <w:tcPr>
        <w:shd w:val="clear" w:color="C9EDFB" w:fill="C9EDFB" w:themeFill="accent4" w:themeFillTint="34"/>
      </w:tcPr>
    </w:tblStylePr>
  </w:style>
  <w:style w:type="table" w:styleId="GridTable4-Accent5">
    <w:name w:val="Grid Table 4 Accent 5"/>
    <w:basedOn w:val="TableNormal"/>
    <w:uiPriority w:val="59"/>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b/>
        <w:sz w:val="22"/>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tcBorders>
        <w:shd w:val="clear" w:color="A02B93" w:fill="A02B93" w:themeFill="accent5"/>
      </w:tcPr>
    </w:tblStylePr>
    <w:tblStylePr w:type="lastRow">
      <w:rPr>
        <w:b/>
      </w:rPr>
      <w:tblPr/>
      <w:tcPr>
        <w:tcBorders>
          <w:top w:val="single" w:sz="4" w:space="0" w:color="A02B93" w:themeColor="accent5"/>
        </w:tcBorders>
      </w:tcPr>
    </w:tblStylePr>
    <w:tblStylePr w:type="firstCol">
      <w:rPr>
        <w:b/>
      </w:rPr>
    </w:tblStylePr>
    <w:tblStylePr w:type="lastCol">
      <w:rPr>
        <w:b/>
      </w:rPr>
    </w:tblStylePr>
    <w:tblStylePr w:type="band1Vert">
      <w:rPr>
        <w:sz w:val="22"/>
      </w:rPr>
      <w:tblPr/>
      <w:tcPr>
        <w:shd w:val="clear" w:color="F1CDED" w:fill="F1CDED" w:themeFill="accent5" w:themeFillTint="34"/>
      </w:tcPr>
    </w:tblStylePr>
    <w:tblStylePr w:type="band1Horz">
      <w:rPr>
        <w:sz w:val="22"/>
      </w:rPr>
      <w:tblPr/>
      <w:tcPr>
        <w:shd w:val="clear" w:color="F1CDED" w:fill="F1CDED" w:themeFill="accent5" w:themeFillTint="34"/>
      </w:tcPr>
    </w:tblStylePr>
  </w:style>
  <w:style w:type="table" w:styleId="GridTable4-Accent6">
    <w:name w:val="Grid Table 4 Accent 6"/>
    <w:basedOn w:val="TableNormal"/>
    <w:uiPriority w:val="59"/>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b/>
        <w:sz w:val="22"/>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tcBorders>
        <w:shd w:val="clear" w:color="4EA72E" w:fill="4EA72E" w:themeFill="accent6"/>
      </w:tcPr>
    </w:tblStylePr>
    <w:tblStylePr w:type="lastRow">
      <w:rPr>
        <w:b/>
      </w:rPr>
      <w:tblPr/>
      <w:tcPr>
        <w:tcBorders>
          <w:top w:val="single" w:sz="4" w:space="0" w:color="4EA72E" w:themeColor="accent6"/>
        </w:tcBorders>
      </w:tcPr>
    </w:tblStylePr>
    <w:tblStylePr w:type="firstCol">
      <w:rPr>
        <w:b/>
      </w:rPr>
    </w:tblStylePr>
    <w:tblStylePr w:type="lastCol">
      <w:rPr>
        <w:b/>
      </w:rPr>
    </w:tblStylePr>
    <w:tblStylePr w:type="band1Vert">
      <w:rPr>
        <w:sz w:val="22"/>
      </w:rPr>
      <w:tblPr/>
      <w:tcPr>
        <w:shd w:val="clear" w:color="D8F2CF" w:fill="D8F2CF" w:themeFill="accent6" w:themeFillTint="34"/>
      </w:tcPr>
    </w:tblStylePr>
    <w:tblStylePr w:type="band1Horz">
      <w:rPr>
        <w:sz w:val="22"/>
      </w:rPr>
      <w:tblPr/>
      <w:tcPr>
        <w:shd w:val="clear" w:color="D8F2CF" w:fill="D8F2CF" w:themeFill="accent6" w:themeFillTint="34"/>
      </w:tcPr>
    </w:tblStylePr>
  </w:style>
  <w:style w:type="table" w:styleId="GridTable5Dark">
    <w:name w:val="Grid Table 5 Dark"/>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000000" w:fill="000000" w:themeFill="text1"/>
      </w:tcPr>
    </w:tblStylePr>
    <w:tblStylePr w:type="lastRow">
      <w:rPr>
        <w:b/>
        <w:sz w:val="22"/>
      </w:rPr>
      <w:tblPr/>
      <w:tcPr>
        <w:tcBorders>
          <w:top w:val="single" w:sz="4" w:space="0" w:color="FFFFFF" w:themeColor="light1"/>
        </w:tcBorders>
        <w:shd w:val="clear" w:color="000000" w:fill="000000" w:themeFill="text1"/>
      </w:tcPr>
    </w:tblStylePr>
    <w:tblStylePr w:type="firstCol">
      <w:rPr>
        <w:b/>
        <w:sz w:val="22"/>
      </w:rPr>
      <w:tblPr/>
      <w:tcPr>
        <w:shd w:val="clear" w:color="000000" w:fill="000000" w:themeFill="text1"/>
      </w:tcPr>
    </w:tblStylePr>
    <w:tblStylePr w:type="lastCol">
      <w:rPr>
        <w:b/>
        <w:sz w:val="22"/>
      </w:rPr>
      <w:tblPr/>
      <w:tcPr>
        <w:shd w:val="clear" w:color="000000" w:fill="000000" w:themeFill="text1"/>
      </w:tcPr>
    </w:tblStylePr>
    <w:tblStylePr w:type="band1Vert">
      <w:tblPr/>
      <w:tcPr>
        <w:shd w:val="clear" w:color="8A8A8A" w:fill="8A8A8A" w:themeFill="text1" w:themeFillTint="75"/>
      </w:tcPr>
    </w:tblStylePr>
    <w:tblStylePr w:type="band1Horz">
      <w:tblPr/>
      <w:tcPr>
        <w:shd w:val="clear" w:color="8A8A8A" w:fill="8A8A8A" w:themeFill="text1" w:themeFillTint="75"/>
      </w:tcPr>
    </w:tblStylePr>
  </w:style>
  <w:style w:type="table" w:customStyle="1" w:styleId="GridTable5Dark-Accent11">
    <w:name w:val="Grid Table 5 Dark - Accent 1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156082" w:fill="156082" w:themeFill="accent1"/>
      </w:tcPr>
    </w:tblStylePr>
    <w:tblStylePr w:type="lastRow">
      <w:rPr>
        <w:b/>
        <w:sz w:val="22"/>
      </w:rPr>
      <w:tblPr/>
      <w:tcPr>
        <w:tcBorders>
          <w:top w:val="single" w:sz="4" w:space="0" w:color="FFFFFF" w:themeColor="light1"/>
        </w:tcBorders>
        <w:shd w:val="clear" w:color="156082" w:fill="156082" w:themeFill="accent1"/>
      </w:tcPr>
    </w:tblStylePr>
    <w:tblStylePr w:type="firstCol">
      <w:rPr>
        <w:b/>
        <w:sz w:val="22"/>
      </w:rPr>
      <w:tblPr/>
      <w:tcPr>
        <w:shd w:val="clear" w:color="156082" w:fill="156082" w:themeFill="accent1"/>
      </w:tcPr>
    </w:tblStylePr>
    <w:tblStylePr w:type="lastCol">
      <w:rPr>
        <w:b/>
        <w:sz w:val="22"/>
      </w:rPr>
      <w:tblPr/>
      <w:tcPr>
        <w:shd w:val="clear" w:color="156082" w:fill="156082" w:themeFill="accent1"/>
      </w:tcPr>
    </w:tblStylePr>
    <w:tblStylePr w:type="band1Vert">
      <w:tblPr/>
      <w:tcPr>
        <w:shd w:val="clear" w:color="70C2E8" w:fill="70C2E8" w:themeFill="accent1" w:themeFillTint="75"/>
      </w:tcPr>
    </w:tblStylePr>
    <w:tblStylePr w:type="band1Horz">
      <w:tblPr/>
      <w:tcPr>
        <w:shd w:val="clear" w:color="70C2E8" w:fill="70C2E8" w:themeFill="accent1" w:themeFillTint="75"/>
      </w:tcPr>
    </w:tblStylePr>
  </w:style>
  <w:style w:type="table" w:styleId="GridTable5Dark-Accent2">
    <w:name w:val="Grid Table 5 Dark Accent 2"/>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E97132" w:fill="E97132" w:themeFill="accent2"/>
      </w:tcPr>
    </w:tblStylePr>
    <w:tblStylePr w:type="lastRow">
      <w:rPr>
        <w:b/>
        <w:sz w:val="22"/>
      </w:rPr>
      <w:tblPr/>
      <w:tcPr>
        <w:tcBorders>
          <w:top w:val="single" w:sz="4" w:space="0" w:color="FFFFFF" w:themeColor="light1"/>
        </w:tcBorders>
        <w:shd w:val="clear" w:color="E97132" w:fill="E97132" w:themeFill="accent2"/>
      </w:tcPr>
    </w:tblStylePr>
    <w:tblStylePr w:type="firstCol">
      <w:rPr>
        <w:b/>
        <w:sz w:val="22"/>
      </w:rPr>
      <w:tblPr/>
      <w:tcPr>
        <w:shd w:val="clear" w:color="E97132" w:fill="E97132" w:themeFill="accent2"/>
      </w:tcPr>
    </w:tblStylePr>
    <w:tblStylePr w:type="lastCol">
      <w:rPr>
        <w:b/>
        <w:sz w:val="22"/>
      </w:rPr>
      <w:tblPr/>
      <w:tcPr>
        <w:shd w:val="clear" w:color="E97132" w:fill="E97132" w:themeFill="accent2"/>
      </w:tcPr>
    </w:tblStylePr>
    <w:tblStylePr w:type="band1Vert">
      <w:tblPr/>
      <w:tcPr>
        <w:shd w:val="clear" w:color="F5BDA0" w:fill="F5BDA0" w:themeFill="accent2" w:themeFillTint="75"/>
      </w:tcPr>
    </w:tblStylePr>
    <w:tblStylePr w:type="band1Horz">
      <w:tblPr/>
      <w:tcPr>
        <w:shd w:val="clear" w:color="F5BDA0" w:fill="F5BDA0" w:themeFill="accent2" w:themeFillTint="75"/>
      </w:tcPr>
    </w:tblStylePr>
  </w:style>
  <w:style w:type="table" w:styleId="GridTable5Dark-Accent3">
    <w:name w:val="Grid Table 5 Dark Accent 3"/>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196B24" w:fill="196B24" w:themeFill="accent3"/>
      </w:tcPr>
    </w:tblStylePr>
    <w:tblStylePr w:type="lastRow">
      <w:rPr>
        <w:b/>
        <w:sz w:val="22"/>
      </w:rPr>
      <w:tblPr/>
      <w:tcPr>
        <w:tcBorders>
          <w:top w:val="single" w:sz="4" w:space="0" w:color="FFFFFF" w:themeColor="light1"/>
        </w:tcBorders>
        <w:shd w:val="clear" w:color="196B24" w:fill="196B24" w:themeFill="accent3"/>
      </w:tcPr>
    </w:tblStylePr>
    <w:tblStylePr w:type="firstCol">
      <w:rPr>
        <w:b/>
        <w:sz w:val="22"/>
      </w:rPr>
      <w:tblPr/>
      <w:tcPr>
        <w:shd w:val="clear" w:color="196B24" w:fill="196B24" w:themeFill="accent3"/>
      </w:tcPr>
    </w:tblStylePr>
    <w:tblStylePr w:type="lastCol">
      <w:rPr>
        <w:b/>
        <w:sz w:val="22"/>
      </w:rPr>
      <w:tblPr/>
      <w:tcPr>
        <w:shd w:val="clear" w:color="196B24" w:fill="196B24" w:themeFill="accent3"/>
      </w:tcPr>
    </w:tblStylePr>
    <w:tblStylePr w:type="band1Vert">
      <w:tblPr/>
      <w:tcPr>
        <w:shd w:val="clear" w:color="72DE80" w:fill="72DE80" w:themeFill="accent3" w:themeFillTint="75"/>
      </w:tcPr>
    </w:tblStylePr>
    <w:tblStylePr w:type="band1Horz">
      <w:tblPr/>
      <w:tcPr>
        <w:shd w:val="clear" w:color="72DE80" w:fill="72DE80" w:themeFill="accent3" w:themeFillTint="75"/>
      </w:tcPr>
    </w:tblStylePr>
  </w:style>
  <w:style w:type="table" w:customStyle="1" w:styleId="GridTable5Dark-Accent41">
    <w:name w:val="Grid Table 5 Dark - Accent 4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0F9ED5" w:fill="0F9ED5" w:themeFill="accent4"/>
      </w:tcPr>
    </w:tblStylePr>
    <w:tblStylePr w:type="lastRow">
      <w:rPr>
        <w:b/>
        <w:sz w:val="22"/>
      </w:rPr>
      <w:tblPr/>
      <w:tcPr>
        <w:tcBorders>
          <w:top w:val="single" w:sz="4" w:space="0" w:color="FFFFFF" w:themeColor="light1"/>
        </w:tcBorders>
        <w:shd w:val="clear" w:color="0F9ED5" w:fill="0F9ED5" w:themeFill="accent4"/>
      </w:tcPr>
    </w:tblStylePr>
    <w:tblStylePr w:type="firstCol">
      <w:rPr>
        <w:b/>
        <w:sz w:val="22"/>
      </w:rPr>
      <w:tblPr/>
      <w:tcPr>
        <w:shd w:val="clear" w:color="0F9ED5" w:fill="0F9ED5" w:themeFill="accent4"/>
      </w:tcPr>
    </w:tblStylePr>
    <w:tblStylePr w:type="lastCol">
      <w:rPr>
        <w:b/>
        <w:sz w:val="22"/>
      </w:rPr>
      <w:tblPr/>
      <w:tcPr>
        <w:shd w:val="clear" w:color="0F9ED5" w:fill="0F9ED5" w:themeFill="accent4"/>
      </w:tcPr>
    </w:tblStylePr>
    <w:tblStylePr w:type="band1Vert">
      <w:tblPr/>
      <w:tcPr>
        <w:shd w:val="clear" w:color="85D7F6" w:fill="85D7F6" w:themeFill="accent4" w:themeFillTint="75"/>
      </w:tcPr>
    </w:tblStylePr>
    <w:tblStylePr w:type="band1Horz">
      <w:tblPr/>
      <w:tcPr>
        <w:shd w:val="clear" w:color="85D7F6" w:fill="85D7F6" w:themeFill="accent4" w:themeFillTint="75"/>
      </w:tcPr>
    </w:tblStylePr>
  </w:style>
  <w:style w:type="table" w:styleId="GridTable5Dark-Accent5">
    <w:name w:val="Grid Table 5 Dark Accent 5"/>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A02B93" w:fill="A02B93" w:themeFill="accent5"/>
      </w:tcPr>
    </w:tblStylePr>
    <w:tblStylePr w:type="lastRow">
      <w:rPr>
        <w:b/>
        <w:sz w:val="22"/>
      </w:rPr>
      <w:tblPr/>
      <w:tcPr>
        <w:tcBorders>
          <w:top w:val="single" w:sz="4" w:space="0" w:color="FFFFFF" w:themeColor="light1"/>
        </w:tcBorders>
        <w:shd w:val="clear" w:color="A02B93" w:fill="A02B93" w:themeFill="accent5"/>
      </w:tcPr>
    </w:tblStylePr>
    <w:tblStylePr w:type="firstCol">
      <w:rPr>
        <w:b/>
        <w:sz w:val="22"/>
      </w:rPr>
      <w:tblPr/>
      <w:tcPr>
        <w:shd w:val="clear" w:color="A02B93" w:fill="A02B93" w:themeFill="accent5"/>
      </w:tcPr>
    </w:tblStylePr>
    <w:tblStylePr w:type="lastCol">
      <w:rPr>
        <w:b/>
        <w:sz w:val="22"/>
      </w:rPr>
      <w:tblPr/>
      <w:tcPr>
        <w:shd w:val="clear" w:color="A02B93" w:fill="A02B93" w:themeFill="accent5"/>
      </w:tcPr>
    </w:tblStylePr>
    <w:tblStylePr w:type="band1Vert">
      <w:tblPr/>
      <w:tcPr>
        <w:shd w:val="clear" w:color="E18FD7" w:fill="E18FD7" w:themeFill="accent5" w:themeFillTint="75"/>
      </w:tcPr>
    </w:tblStylePr>
    <w:tblStylePr w:type="band1Horz">
      <w:tblPr/>
      <w:tcPr>
        <w:shd w:val="clear" w:color="E18FD7" w:fill="E18FD7" w:themeFill="accent5" w:themeFillTint="75"/>
      </w:tcPr>
    </w:tblStylePr>
  </w:style>
  <w:style w:type="table" w:styleId="GridTable5Dark-Accent6">
    <w:name w:val="Grid Table 5 Dark Accent 6"/>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Pr>
    <w:tblStylePr w:type="firstRow">
      <w:rPr>
        <w:b/>
        <w:sz w:val="22"/>
      </w:rPr>
      <w:tblPr/>
      <w:tcPr>
        <w:shd w:val="clear" w:color="4EA72E" w:fill="4EA72E" w:themeFill="accent6"/>
      </w:tcPr>
    </w:tblStylePr>
    <w:tblStylePr w:type="lastRow">
      <w:rPr>
        <w:b/>
        <w:sz w:val="22"/>
      </w:rPr>
      <w:tblPr/>
      <w:tcPr>
        <w:tcBorders>
          <w:top w:val="single" w:sz="4" w:space="0" w:color="FFFFFF" w:themeColor="light1"/>
        </w:tcBorders>
        <w:shd w:val="clear" w:color="4EA72E" w:fill="4EA72E" w:themeFill="accent6"/>
      </w:tcPr>
    </w:tblStylePr>
    <w:tblStylePr w:type="firstCol">
      <w:rPr>
        <w:b/>
        <w:sz w:val="22"/>
      </w:rPr>
      <w:tblPr/>
      <w:tcPr>
        <w:shd w:val="clear" w:color="4EA72E" w:fill="4EA72E" w:themeFill="accent6"/>
      </w:tcPr>
    </w:tblStylePr>
    <w:tblStylePr w:type="lastCol">
      <w:rPr>
        <w:b/>
        <w:sz w:val="22"/>
      </w:rPr>
      <w:tblPr/>
      <w:tcPr>
        <w:shd w:val="clear" w:color="4EA72E" w:fill="4EA72E" w:themeFill="accent6"/>
      </w:tcPr>
    </w:tblStylePr>
    <w:tblStylePr w:type="band1Vert">
      <w:tblPr/>
      <w:tcPr>
        <w:shd w:val="clear" w:color="A8E194" w:fill="A8E194" w:themeFill="accent6" w:themeFillTint="75"/>
      </w:tcPr>
    </w:tblStylePr>
    <w:tblStylePr w:type="band1Horz">
      <w:tblPr/>
      <w:tcPr>
        <w:shd w:val="clear" w:color="A8E194" w:fill="A8E194" w:themeFill="accent6" w:themeFillTint="75"/>
      </w:tcPr>
    </w:tblStylePr>
  </w:style>
  <w:style w:type="table" w:styleId="GridTable6Colorful">
    <w:name w:val="Grid Table 6 Colorful"/>
    <w:basedOn w:val="Table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000000" w:themeColor="text1"/>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fill="CBCBCB" w:themeFill="text1" w:themeFillTint="34"/>
      </w:tcPr>
    </w:tblStylePr>
    <w:tblStylePr w:type="band1Horz">
      <w:rPr>
        <w:color w:val="7F7F7F" w:themeColor="text1" w:themeTint="80" w:themeShade="95"/>
        <w:sz w:val="22"/>
      </w:rPr>
      <w:tblPr/>
      <w:tcPr>
        <w:shd w:val="clear" w:color="CBCBCB" w:fill="CBCBCB" w:themeFill="text1" w:themeFillTint="34"/>
      </w:tcPr>
    </w:tblStylePr>
    <w:tblStylePr w:type="band2Horz">
      <w:rPr>
        <w:color w:val="7F7F7F" w:themeColor="text1" w:themeTint="80" w:themeShade="95"/>
        <w:sz w:val="22"/>
      </w:rPr>
    </w:tblStylePr>
  </w:style>
  <w:style w:type="table" w:styleId="GridTable6Colorful-Accent1">
    <w:name w:val="Grid Table 6 Colorful Accent 1"/>
    <w:basedOn w:val="TableNormal"/>
    <w:uiPriority w:val="99"/>
    <w:tblPr>
      <w:tblStyleRowBandSize w:val="1"/>
      <w:tblStyleColBandSize w:val="1"/>
      <w:tblBorders>
        <w:top w:val="single" w:sz="4" w:space="0" w:color="63BDE6" w:themeColor="accent1" w:themeTint="80"/>
        <w:left w:val="single" w:sz="4" w:space="0" w:color="63BDE6" w:themeColor="accent1" w:themeTint="80"/>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b/>
        <w:color w:val="63BDE6" w:themeColor="accent1" w:themeTint="80" w:themeShade="95"/>
      </w:rPr>
      <w:tblPr/>
      <w:tcPr>
        <w:tcBorders>
          <w:bottom w:val="single" w:sz="12" w:space="0" w:color="156082" w:themeColor="accent1"/>
        </w:tcBorders>
      </w:tcPr>
    </w:tblStylePr>
    <w:tblStylePr w:type="lastRow">
      <w:rPr>
        <w:b/>
        <w:color w:val="63BDE6" w:themeColor="accent1" w:themeTint="80" w:themeShade="95"/>
      </w:rPr>
    </w:tblStylePr>
    <w:tblStylePr w:type="firstCol">
      <w:rPr>
        <w:b/>
        <w:color w:val="63BDE6" w:themeColor="accent1" w:themeTint="80" w:themeShade="95"/>
      </w:rPr>
    </w:tblStylePr>
    <w:tblStylePr w:type="lastCol">
      <w:rPr>
        <w:b/>
        <w:color w:val="63BDE6" w:themeColor="accent1" w:themeTint="80" w:themeShade="95"/>
      </w:rPr>
    </w:tblStylePr>
    <w:tblStylePr w:type="band1Vert">
      <w:tblPr/>
      <w:tcPr>
        <w:shd w:val="clear" w:color="BFE4F4" w:fill="BFE4F4" w:themeFill="accent1" w:themeFillTint="34"/>
      </w:tcPr>
    </w:tblStylePr>
    <w:tblStylePr w:type="band1Horz">
      <w:rPr>
        <w:color w:val="63BDE6" w:themeColor="accent1" w:themeTint="80" w:themeShade="95"/>
        <w:sz w:val="22"/>
      </w:rPr>
      <w:tblPr/>
      <w:tcPr>
        <w:shd w:val="clear" w:color="BFE4F4" w:fill="BFE4F4" w:themeFill="accent1" w:themeFillTint="34"/>
      </w:tcPr>
    </w:tblStylePr>
    <w:tblStylePr w:type="band2Horz">
      <w:rPr>
        <w:color w:val="63BDE6" w:themeColor="accent1" w:themeTint="80" w:themeShade="95"/>
        <w:sz w:val="22"/>
      </w:rPr>
    </w:tblStylePr>
  </w:style>
  <w:style w:type="table" w:styleId="GridTable6Colorful-Accent2">
    <w:name w:val="Grid Table 6 Colorful Accent 2"/>
    <w:basedOn w:val="TableNormal"/>
    <w:uiPriority w:val="99"/>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F2AA85" w:themeColor="accent2" w:themeTint="97" w:themeShade="95"/>
      </w:rPr>
      <w:tblPr/>
      <w:tcPr>
        <w:tcBorders>
          <w:bottom w:val="single" w:sz="12" w:space="0" w:color="E97132" w:themeColor="accent2"/>
        </w:tcBorders>
      </w:tcPr>
    </w:tblStylePr>
    <w:tblStylePr w:type="lastRow">
      <w:rPr>
        <w:b/>
        <w:color w:val="F2AA85" w:themeColor="accent2" w:themeTint="97" w:themeShade="95"/>
      </w:r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AE2D6" w:fill="FAE2D6" w:themeFill="accent2" w:themeFillTint="32"/>
      </w:tcPr>
    </w:tblStylePr>
    <w:tblStylePr w:type="band1Horz">
      <w:rPr>
        <w:color w:val="F2AA85" w:themeColor="accent2" w:themeTint="97" w:themeShade="95"/>
        <w:sz w:val="22"/>
      </w:rPr>
      <w:tblPr/>
      <w:tcPr>
        <w:shd w:val="clear" w:color="FAE2D6" w:fill="FAE2D6" w:themeFill="accent2" w:themeFillTint="32"/>
      </w:tcPr>
    </w:tblStylePr>
    <w:tblStylePr w:type="band2Horz">
      <w:rPr>
        <w:color w:val="F2AA85" w:themeColor="accent2" w:themeTint="97" w:themeShade="95"/>
        <w:sz w:val="22"/>
      </w:rPr>
    </w:tblStylePr>
  </w:style>
  <w:style w:type="table" w:styleId="GridTable6Colorful-Accent3">
    <w:name w:val="Grid Table 6 Colorful Accent 3"/>
    <w:basedOn w:val="TableNormal"/>
    <w:uiPriority w:val="99"/>
    <w:tblPr>
      <w:tblStyleRowBandSize w:val="1"/>
      <w:tblStyleColBandSize w:val="1"/>
      <w:tbl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196C24" w:themeColor="accent3" w:themeTint="FE" w:themeShade="95"/>
      </w:rPr>
      <w:tblPr/>
      <w:tcPr>
        <w:tcBorders>
          <w:bottom w:val="single" w:sz="12" w:space="0" w:color="196B24" w:themeColor="accent3"/>
        </w:tcBorders>
      </w:tcPr>
    </w:tblStylePr>
    <w:tblStylePr w:type="lastRow">
      <w:rPr>
        <w:b/>
        <w:color w:val="196C24" w:themeColor="accent3" w:themeTint="FE" w:themeShade="95"/>
      </w:rPr>
    </w:tblStylePr>
    <w:tblStylePr w:type="firstCol">
      <w:rPr>
        <w:b/>
        <w:color w:val="196C24" w:themeColor="accent3" w:themeTint="FE" w:themeShade="95"/>
      </w:rPr>
    </w:tblStylePr>
    <w:tblStylePr w:type="lastCol">
      <w:rPr>
        <w:b/>
        <w:color w:val="196C24" w:themeColor="accent3" w:themeTint="FE" w:themeShade="95"/>
      </w:rPr>
    </w:tblStylePr>
    <w:tblStylePr w:type="band1Vert">
      <w:tblPr/>
      <w:tcPr>
        <w:shd w:val="clear" w:color="C0F0C6" w:fill="C0F0C6" w:themeFill="accent3" w:themeFillTint="34"/>
      </w:tcPr>
    </w:tblStylePr>
    <w:tblStylePr w:type="band1Horz">
      <w:rPr>
        <w:color w:val="196C24" w:themeColor="accent3" w:themeTint="FE" w:themeShade="95"/>
        <w:sz w:val="22"/>
      </w:rPr>
      <w:tblPr/>
      <w:tcPr>
        <w:shd w:val="clear" w:color="C0F0C6" w:fill="C0F0C6" w:themeFill="accent3" w:themeFillTint="34"/>
      </w:tcPr>
    </w:tblStylePr>
    <w:tblStylePr w:type="band2Horz">
      <w:rPr>
        <w:color w:val="196C24" w:themeColor="accent3" w:themeTint="FE" w:themeShade="95"/>
        <w:sz w:val="22"/>
      </w:rPr>
    </w:tblStylePr>
  </w:style>
  <w:style w:type="table" w:styleId="GridTable6Colorful-Accent4">
    <w:name w:val="Grid Table 6 Colorful Accent 4"/>
    <w:basedOn w:val="TableNormal"/>
    <w:uiPriority w:val="99"/>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5FCAF3" w:themeColor="accent4" w:themeTint="9A" w:themeShade="95"/>
      </w:rPr>
      <w:tblPr/>
      <w:tcPr>
        <w:tcBorders>
          <w:bottom w:val="single" w:sz="12" w:space="0" w:color="0F9ED5" w:themeColor="accent4"/>
        </w:tcBorders>
      </w:tcPr>
    </w:tblStylePr>
    <w:tblStylePr w:type="lastRow">
      <w:rPr>
        <w:b/>
        <w:color w:val="5FCAF3" w:themeColor="accent4" w:themeTint="9A" w:themeShade="95"/>
      </w:r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C9EDFB" w:fill="C9EDFB" w:themeFill="accent4" w:themeFillTint="34"/>
      </w:tcPr>
    </w:tblStylePr>
    <w:tblStylePr w:type="band1Horz">
      <w:rPr>
        <w:color w:val="5FCAF3" w:themeColor="accent4" w:themeTint="9A" w:themeShade="95"/>
        <w:sz w:val="22"/>
      </w:rPr>
      <w:tblPr/>
      <w:tcPr>
        <w:shd w:val="clear" w:color="C9EDFB" w:fill="C9EDFB" w:themeFill="accent4" w:themeFillTint="34"/>
      </w:tcPr>
    </w:tblStylePr>
    <w:tblStylePr w:type="band2Horz">
      <w:rPr>
        <w:color w:val="5FCAF3" w:themeColor="accent4" w:themeTint="9A" w:themeShade="95"/>
        <w:sz w:val="22"/>
      </w:rPr>
    </w:tblStylePr>
  </w:style>
  <w:style w:type="table" w:styleId="GridTable6Colorful-Accent5">
    <w:name w:val="Grid Table 6 Colorful Accent 5"/>
    <w:basedOn w:val="TableNormal"/>
    <w:uiPriority w:val="99"/>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insideH w:val="single" w:sz="4" w:space="0" w:color="A02B93" w:themeColor="accent5"/>
        <w:insideV w:val="single" w:sz="4" w:space="0" w:color="A02B93" w:themeColor="accent5"/>
      </w:tblBorders>
    </w:tblPr>
    <w:tblStylePr w:type="firstRow">
      <w:rPr>
        <w:b/>
        <w:color w:val="5D1955" w:themeColor="accent5" w:themeShade="95"/>
      </w:rPr>
      <w:tblPr/>
      <w:tcPr>
        <w:tcBorders>
          <w:bottom w:val="single" w:sz="12" w:space="0" w:color="A02B93" w:themeColor="accent5"/>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F1CDED" w:fill="F1CDED" w:themeFill="accent5" w:themeFillTint="34"/>
      </w:tcPr>
    </w:tblStylePr>
    <w:tblStylePr w:type="band1Horz">
      <w:rPr>
        <w:color w:val="5D1955" w:themeColor="accent5" w:themeShade="95"/>
        <w:sz w:val="22"/>
      </w:rPr>
      <w:tblPr/>
      <w:tcPr>
        <w:shd w:val="clear" w:color="F1CDED" w:fill="F1CDED" w:themeFill="accent5" w:themeFillTint="34"/>
      </w:tcPr>
    </w:tblStylePr>
    <w:tblStylePr w:type="band2Horz">
      <w:rPr>
        <w:color w:val="5D1955" w:themeColor="accent5" w:themeShade="95"/>
        <w:sz w:val="22"/>
      </w:rPr>
    </w:tblStylePr>
  </w:style>
  <w:style w:type="table" w:styleId="GridTable6Colorful-Accent6">
    <w:name w:val="Grid Table 6 Colorful Accent 6"/>
    <w:basedOn w:val="TableNormal"/>
    <w:uiPriority w:val="99"/>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insideH w:val="single" w:sz="4" w:space="0" w:color="4EA72E" w:themeColor="accent6"/>
        <w:insideV w:val="single" w:sz="4" w:space="0" w:color="4EA72E" w:themeColor="accent6"/>
      </w:tblBorders>
    </w:tblPr>
    <w:tblStylePr w:type="firstRow">
      <w:rPr>
        <w:b/>
        <w:color w:val="5D1955" w:themeColor="accent5" w:themeShade="95"/>
      </w:rPr>
      <w:tblPr/>
      <w:tcPr>
        <w:tcBorders>
          <w:bottom w:val="single" w:sz="12" w:space="0" w:color="4EA72E" w:themeColor="accent6"/>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D8F2CF" w:fill="D8F2CF" w:themeFill="accent6" w:themeFillTint="34"/>
      </w:tcPr>
    </w:tblStylePr>
    <w:tblStylePr w:type="band1Horz">
      <w:rPr>
        <w:color w:val="5D1955" w:themeColor="accent5" w:themeShade="95"/>
        <w:sz w:val="22"/>
      </w:rPr>
      <w:tblPr/>
      <w:tcPr>
        <w:shd w:val="clear" w:color="D8F2CF" w:fill="D8F2CF" w:themeFill="accent6" w:themeFillTint="34"/>
      </w:tcPr>
    </w:tblStylePr>
    <w:tblStylePr w:type="band2Horz">
      <w:rPr>
        <w:color w:val="5D1955" w:themeColor="accent5" w:themeShade="95"/>
        <w:sz w:val="22"/>
      </w:rPr>
    </w:tblStylePr>
  </w:style>
  <w:style w:type="table" w:styleId="GridTable7Colorful">
    <w:name w:val="Grid Table 7 Colorful"/>
    <w:basedOn w:val="Table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sz w:val="22"/>
      </w:rPr>
      <w:tblPr/>
      <w:tcPr>
        <w:tcBorders>
          <w:top w:val="none" w:sz="0" w:space="0" w:color="auto"/>
          <w:left w:val="none" w:sz="0" w:space="0" w:color="auto"/>
          <w:bottom w:val="single" w:sz="4" w:space="0" w:color="000000" w:themeColor="text1"/>
          <w:right w:val="none" w:sz="0" w:space="0" w:color="auto"/>
        </w:tcBorders>
        <w:shd w:val="clear" w:color="FFFFFF" w:fill="FFFFFF" w:themeFill="light1"/>
      </w:tcPr>
    </w:tblStylePr>
    <w:tblStylePr w:type="lastRow">
      <w:rPr>
        <w:b/>
        <w:color w:val="7F7F7F" w:themeColor="text1" w:themeTint="80" w:themeShade="95"/>
        <w:sz w:val="22"/>
      </w:rPr>
      <w:tblPr/>
      <w:tcPr>
        <w:tcBorders>
          <w:top w:val="single" w:sz="4" w:space="0" w:color="000000" w:themeColor="text1"/>
          <w:left w:val="none" w:sz="0" w:space="0" w:color="auto"/>
          <w:bottom w:val="none" w:sz="0" w:space="0" w:color="auto"/>
          <w:right w:val="none" w:sz="0" w:space="0" w:color="auto"/>
        </w:tcBorders>
        <w:shd w:val="clear" w:color="FFFFFF" w:fill="FFFFFF" w:themeFill="light1"/>
      </w:tcPr>
    </w:tblStylePr>
    <w:tblStylePr w:type="firstCol">
      <w:pPr>
        <w:jc w:val="right"/>
      </w:pPr>
      <w:rPr>
        <w:i/>
        <w:color w:val="7F7F7F" w:themeColor="text1" w:themeTint="80" w:themeShade="95"/>
        <w:sz w:val="22"/>
      </w:rPr>
      <w:tblPr/>
      <w:tcPr>
        <w:tcBorders>
          <w:top w:val="none" w:sz="0" w:space="0" w:color="auto"/>
          <w:left w:val="none" w:sz="0" w:space="0" w:color="auto"/>
          <w:bottom w:val="none" w:sz="0" w:space="0" w:color="auto"/>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0" w:space="0" w:color="auto"/>
          <w:left w:val="single" w:sz="4" w:space="0" w:color="000000" w:themeColor="text1"/>
          <w:bottom w:val="none" w:sz="0" w:space="0" w:color="auto"/>
          <w:right w:val="none" w:sz="0" w:space="0" w:color="auto"/>
        </w:tcBorders>
        <w:shd w:val="clear" w:color="FFFFFF" w:fill="auto"/>
      </w:tcPr>
    </w:tblStylePr>
    <w:tblStylePr w:type="band1Vert">
      <w:tblPr/>
      <w:tcPr>
        <w:shd w:val="clear" w:color="F2F2F2" w:fill="F2F2F2" w:themeFill="text1" w:themeFillTint="0D"/>
      </w:tcPr>
    </w:tblStylePr>
    <w:tblStylePr w:type="band1Horz">
      <w:rPr>
        <w:color w:val="7F7F7F" w:themeColor="text1" w:themeTint="80" w:themeShade="95"/>
        <w:sz w:val="22"/>
      </w:rPr>
      <w:tblPr/>
      <w:tcPr>
        <w:shd w:val="clear" w:color="F2F2F2" w:fill="F2F2F2" w:themeFill="text1" w:themeFillTint="0D"/>
      </w:tcPr>
    </w:tblStylePr>
    <w:tblStylePr w:type="band2Horz">
      <w:rPr>
        <w:color w:val="7F7F7F" w:themeColor="text1" w:themeTint="80" w:themeShade="95"/>
        <w:sz w:val="22"/>
      </w:rPr>
    </w:tblStylePr>
  </w:style>
  <w:style w:type="table" w:styleId="GridTable7Colorful-Accent1">
    <w:name w:val="Grid Table 7 Colorful Accent 1"/>
    <w:basedOn w:val="TableNormal"/>
    <w:uiPriority w:val="99"/>
    <w:tblPr>
      <w:tblStyleRowBandSize w:val="1"/>
      <w:tblStyleColBandSize w:val="1"/>
      <w:tblBorders>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b/>
        <w:color w:val="63BDE6" w:themeColor="accent1" w:themeTint="80" w:themeShade="95"/>
        <w:sz w:val="22"/>
      </w:rPr>
      <w:tblPr/>
      <w:tcPr>
        <w:tcBorders>
          <w:top w:val="none" w:sz="0" w:space="0" w:color="auto"/>
          <w:left w:val="none" w:sz="0" w:space="0" w:color="auto"/>
          <w:bottom w:val="single" w:sz="4" w:space="0" w:color="156082" w:themeColor="accent1"/>
          <w:right w:val="none" w:sz="0" w:space="0" w:color="auto"/>
        </w:tcBorders>
        <w:shd w:val="clear" w:color="FFFFFF" w:fill="FFFFFF" w:themeFill="light1"/>
      </w:tcPr>
    </w:tblStylePr>
    <w:tblStylePr w:type="lastRow">
      <w:rPr>
        <w:b/>
        <w:color w:val="63BDE6" w:themeColor="accent1" w:themeTint="80" w:themeShade="95"/>
        <w:sz w:val="22"/>
      </w:rPr>
      <w:tblPr/>
      <w:tcPr>
        <w:tcBorders>
          <w:top w:val="single" w:sz="4" w:space="0" w:color="156082" w:themeColor="accent1"/>
          <w:left w:val="none" w:sz="0" w:space="0" w:color="auto"/>
          <w:bottom w:val="none" w:sz="0" w:space="0" w:color="auto"/>
          <w:right w:val="none" w:sz="0" w:space="0" w:color="auto"/>
        </w:tcBorders>
        <w:shd w:val="clear" w:color="FFFFFF" w:fill="FFFFFF" w:themeFill="light1"/>
      </w:tcPr>
    </w:tblStylePr>
    <w:tblStylePr w:type="firstCol">
      <w:pPr>
        <w:jc w:val="right"/>
      </w:pPr>
      <w:rPr>
        <w:i/>
        <w:color w:val="63BDE6" w:themeColor="accent1" w:themeTint="80" w:themeShade="95"/>
        <w:sz w:val="22"/>
      </w:rPr>
      <w:tblPr/>
      <w:tcPr>
        <w:tcBorders>
          <w:top w:val="none" w:sz="0" w:space="0" w:color="auto"/>
          <w:left w:val="none" w:sz="0" w:space="0" w:color="auto"/>
          <w:bottom w:val="none" w:sz="0" w:space="0" w:color="auto"/>
          <w:right w:val="single" w:sz="4" w:space="0" w:color="156082" w:themeColor="accent1"/>
        </w:tcBorders>
        <w:shd w:val="clear" w:color="FFFFFF" w:fill="auto"/>
      </w:tcPr>
    </w:tblStylePr>
    <w:tblStylePr w:type="lastCol">
      <w:rPr>
        <w:i/>
        <w:color w:val="63BDE6" w:themeColor="accent1" w:themeTint="80" w:themeShade="95"/>
        <w:sz w:val="22"/>
      </w:rPr>
      <w:tblPr/>
      <w:tcPr>
        <w:tcBorders>
          <w:top w:val="none" w:sz="0" w:space="0" w:color="auto"/>
          <w:left w:val="single" w:sz="4" w:space="0" w:color="156082" w:themeColor="accent1"/>
          <w:bottom w:val="none" w:sz="0" w:space="0" w:color="auto"/>
          <w:right w:val="none" w:sz="0" w:space="0" w:color="auto"/>
        </w:tcBorders>
        <w:shd w:val="clear" w:color="FFFFFF" w:fill="auto"/>
      </w:tcPr>
    </w:tblStylePr>
    <w:tblStylePr w:type="band1Vert">
      <w:tblPr/>
      <w:tcPr>
        <w:shd w:val="clear" w:color="BFE4F4" w:fill="BFE4F4" w:themeFill="accent1" w:themeFillTint="34"/>
      </w:tcPr>
    </w:tblStylePr>
    <w:tblStylePr w:type="band1Horz">
      <w:rPr>
        <w:color w:val="63BDE6" w:themeColor="accent1" w:themeTint="80" w:themeShade="95"/>
        <w:sz w:val="22"/>
      </w:rPr>
      <w:tblPr/>
      <w:tcPr>
        <w:shd w:val="clear" w:color="BFE4F4" w:fill="BFE4F4" w:themeFill="accent1" w:themeFillTint="34"/>
      </w:tcPr>
    </w:tblStylePr>
    <w:tblStylePr w:type="band2Horz">
      <w:rPr>
        <w:color w:val="63BDE6" w:themeColor="accent1" w:themeTint="80" w:themeShade="95"/>
        <w:sz w:val="22"/>
      </w:rPr>
    </w:tblStylePr>
  </w:style>
  <w:style w:type="table" w:styleId="GridTable7Colorful-Accent2">
    <w:name w:val="Grid Table 7 Colorful Accent 2"/>
    <w:basedOn w:val="TableNormal"/>
    <w:uiPriority w:val="99"/>
    <w:tblPr>
      <w:tblStyleRowBandSize w:val="1"/>
      <w:tblStyleColBandSize w:val="1"/>
      <w:tblBorders>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F2AA85" w:themeColor="accent2" w:themeTint="97" w:themeShade="95"/>
        <w:sz w:val="22"/>
      </w:rPr>
      <w:tblPr/>
      <w:tcPr>
        <w:tcBorders>
          <w:top w:val="none" w:sz="0" w:space="0" w:color="auto"/>
          <w:left w:val="none" w:sz="0" w:space="0" w:color="auto"/>
          <w:bottom w:val="single" w:sz="4" w:space="0" w:color="E97132" w:themeColor="accent2"/>
          <w:right w:val="none" w:sz="0" w:space="0" w:color="auto"/>
        </w:tcBorders>
        <w:shd w:val="clear" w:color="FFFFFF" w:fill="FFFFFF" w:themeFill="light1"/>
      </w:tcPr>
    </w:tblStylePr>
    <w:tblStylePr w:type="lastRow">
      <w:rPr>
        <w:b/>
        <w:color w:val="F2AA85" w:themeColor="accent2" w:themeTint="97" w:themeShade="95"/>
        <w:sz w:val="22"/>
      </w:rPr>
      <w:tblPr/>
      <w:tcPr>
        <w:tcBorders>
          <w:top w:val="single" w:sz="4" w:space="0" w:color="E97132" w:themeColor="accent2"/>
          <w:left w:val="none" w:sz="0" w:space="0" w:color="auto"/>
          <w:bottom w:val="none" w:sz="0" w:space="0" w:color="auto"/>
          <w:right w:val="none" w:sz="0" w:space="0" w:color="auto"/>
        </w:tcBorders>
        <w:shd w:val="clear" w:color="FFFFFF" w:fill="FFFFFF" w:themeFill="light1"/>
      </w:tcPr>
    </w:tblStylePr>
    <w:tblStylePr w:type="firstCol">
      <w:pPr>
        <w:jc w:val="right"/>
      </w:pPr>
      <w:rPr>
        <w:i/>
        <w:color w:val="F2AA85" w:themeColor="accent2" w:themeTint="97" w:themeShade="95"/>
        <w:sz w:val="22"/>
      </w:rPr>
      <w:tblPr/>
      <w:tcPr>
        <w:tcBorders>
          <w:top w:val="none" w:sz="0" w:space="0" w:color="auto"/>
          <w:left w:val="none" w:sz="0" w:space="0" w:color="auto"/>
          <w:bottom w:val="none" w:sz="0" w:space="0" w:color="auto"/>
          <w:right w:val="single" w:sz="4" w:space="0" w:color="E97132" w:themeColor="accent2"/>
        </w:tcBorders>
        <w:shd w:val="clear" w:color="FFFFFF" w:fill="auto"/>
      </w:tcPr>
    </w:tblStylePr>
    <w:tblStylePr w:type="lastCol">
      <w:rPr>
        <w:i/>
        <w:color w:val="F2AA85" w:themeColor="accent2" w:themeTint="97" w:themeShade="95"/>
        <w:sz w:val="22"/>
      </w:rPr>
      <w:tblPr/>
      <w:tcPr>
        <w:tcBorders>
          <w:top w:val="none" w:sz="0" w:space="0" w:color="auto"/>
          <w:left w:val="single" w:sz="4" w:space="0" w:color="E97132" w:themeColor="accent2"/>
          <w:bottom w:val="none" w:sz="0" w:space="0" w:color="auto"/>
          <w:right w:val="none" w:sz="0" w:space="0" w:color="auto"/>
        </w:tcBorders>
        <w:shd w:val="clear" w:color="FFFFFF" w:fill="auto"/>
      </w:tcPr>
    </w:tblStylePr>
    <w:tblStylePr w:type="band1Vert">
      <w:tblPr/>
      <w:tcPr>
        <w:shd w:val="clear" w:color="FAE2D6" w:fill="FAE2D6" w:themeFill="accent2" w:themeFillTint="32"/>
      </w:tcPr>
    </w:tblStylePr>
    <w:tblStylePr w:type="band1Horz">
      <w:rPr>
        <w:color w:val="F2AA85" w:themeColor="accent2" w:themeTint="97" w:themeShade="95"/>
        <w:sz w:val="22"/>
      </w:rPr>
      <w:tblPr/>
      <w:tcPr>
        <w:shd w:val="clear" w:color="FAE2D6" w:fill="FAE2D6" w:themeFill="accent2" w:themeFillTint="32"/>
      </w:tcPr>
    </w:tblStylePr>
    <w:tblStylePr w:type="band2Horz">
      <w:rPr>
        <w:color w:val="F2AA85" w:themeColor="accent2" w:themeTint="97" w:themeShade="95"/>
        <w:sz w:val="22"/>
      </w:rPr>
    </w:tblStylePr>
  </w:style>
  <w:style w:type="table" w:styleId="GridTable7Colorful-Accent3">
    <w:name w:val="Grid Table 7 Colorful Accent 3"/>
    <w:basedOn w:val="TableNormal"/>
    <w:uiPriority w:val="99"/>
    <w:tblPr>
      <w:tblStyleRowBandSize w:val="1"/>
      <w:tblStyleColBandSize w:val="1"/>
      <w:tblBorders>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196C24" w:themeColor="accent3" w:themeTint="FE" w:themeShade="95"/>
        <w:sz w:val="22"/>
      </w:rPr>
      <w:tblPr/>
      <w:tcPr>
        <w:tcBorders>
          <w:top w:val="none" w:sz="0" w:space="0" w:color="auto"/>
          <w:left w:val="none" w:sz="0" w:space="0" w:color="auto"/>
          <w:bottom w:val="single" w:sz="4" w:space="0" w:color="196B24" w:themeColor="accent3"/>
          <w:right w:val="none" w:sz="0" w:space="0" w:color="auto"/>
        </w:tcBorders>
        <w:shd w:val="clear" w:color="FFFFFF" w:fill="FFFFFF" w:themeFill="light1"/>
      </w:tcPr>
    </w:tblStylePr>
    <w:tblStylePr w:type="lastRow">
      <w:rPr>
        <w:b/>
        <w:color w:val="196C24" w:themeColor="accent3" w:themeTint="FE" w:themeShade="95"/>
        <w:sz w:val="22"/>
      </w:rPr>
      <w:tblPr/>
      <w:tcPr>
        <w:tcBorders>
          <w:top w:val="single" w:sz="4" w:space="0" w:color="196B24" w:themeColor="accent3"/>
          <w:left w:val="none" w:sz="0" w:space="0" w:color="auto"/>
          <w:bottom w:val="none" w:sz="0" w:space="0" w:color="auto"/>
          <w:right w:val="none" w:sz="0" w:space="0" w:color="auto"/>
        </w:tcBorders>
        <w:shd w:val="clear" w:color="FFFFFF" w:fill="FFFFFF" w:themeFill="light1"/>
      </w:tcPr>
    </w:tblStylePr>
    <w:tblStylePr w:type="firstCol">
      <w:pPr>
        <w:jc w:val="right"/>
      </w:pPr>
      <w:rPr>
        <w:i/>
        <w:color w:val="196C24" w:themeColor="accent3" w:themeTint="FE" w:themeShade="95"/>
        <w:sz w:val="22"/>
      </w:rPr>
      <w:tblPr/>
      <w:tcPr>
        <w:tcBorders>
          <w:top w:val="none" w:sz="0" w:space="0" w:color="auto"/>
          <w:left w:val="none" w:sz="0" w:space="0" w:color="auto"/>
          <w:bottom w:val="none" w:sz="0" w:space="0" w:color="auto"/>
          <w:right w:val="single" w:sz="4" w:space="0" w:color="196B24" w:themeColor="accent3"/>
        </w:tcBorders>
        <w:shd w:val="clear" w:color="FFFFFF" w:fill="auto"/>
      </w:tcPr>
    </w:tblStylePr>
    <w:tblStylePr w:type="lastCol">
      <w:rPr>
        <w:i/>
        <w:color w:val="196C24" w:themeColor="accent3" w:themeTint="FE" w:themeShade="95"/>
        <w:sz w:val="22"/>
      </w:rPr>
      <w:tblPr/>
      <w:tcPr>
        <w:tcBorders>
          <w:top w:val="none" w:sz="0" w:space="0" w:color="auto"/>
          <w:left w:val="single" w:sz="4" w:space="0" w:color="196B24" w:themeColor="accent3"/>
          <w:bottom w:val="none" w:sz="0" w:space="0" w:color="auto"/>
          <w:right w:val="none" w:sz="0" w:space="0" w:color="auto"/>
        </w:tcBorders>
        <w:shd w:val="clear" w:color="FFFFFF" w:fill="auto"/>
      </w:tcPr>
    </w:tblStylePr>
    <w:tblStylePr w:type="band1Vert">
      <w:tblPr/>
      <w:tcPr>
        <w:shd w:val="clear" w:color="C0F0C6" w:fill="C0F0C6" w:themeFill="accent3" w:themeFillTint="34"/>
      </w:tcPr>
    </w:tblStylePr>
    <w:tblStylePr w:type="band1Horz">
      <w:rPr>
        <w:color w:val="196C24" w:themeColor="accent3" w:themeTint="FE" w:themeShade="95"/>
        <w:sz w:val="22"/>
      </w:rPr>
      <w:tblPr/>
      <w:tcPr>
        <w:shd w:val="clear" w:color="C0F0C6" w:fill="C0F0C6" w:themeFill="accent3" w:themeFillTint="34"/>
      </w:tcPr>
    </w:tblStylePr>
    <w:tblStylePr w:type="band2Horz">
      <w:rPr>
        <w:color w:val="196C24" w:themeColor="accent3" w:themeTint="FE" w:themeShade="95"/>
        <w:sz w:val="22"/>
      </w:rPr>
    </w:tblStylePr>
  </w:style>
  <w:style w:type="table" w:styleId="GridTable7Colorful-Accent4">
    <w:name w:val="Grid Table 7 Colorful Accent 4"/>
    <w:basedOn w:val="TableNormal"/>
    <w:uiPriority w:val="99"/>
    <w:tblPr>
      <w:tblStyleRowBandSize w:val="1"/>
      <w:tblStyleColBandSize w:val="1"/>
      <w:tblBorders>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5FCAF3" w:themeColor="accent4" w:themeTint="9A" w:themeShade="95"/>
        <w:sz w:val="22"/>
      </w:rPr>
      <w:tblPr/>
      <w:tcPr>
        <w:tcBorders>
          <w:top w:val="none" w:sz="0" w:space="0" w:color="auto"/>
          <w:left w:val="none" w:sz="0" w:space="0" w:color="auto"/>
          <w:bottom w:val="single" w:sz="4" w:space="0" w:color="0F9ED5" w:themeColor="accent4"/>
          <w:right w:val="none" w:sz="0" w:space="0" w:color="auto"/>
        </w:tcBorders>
        <w:shd w:val="clear" w:color="FFFFFF" w:fill="FFFFFF" w:themeFill="light1"/>
      </w:tcPr>
    </w:tblStylePr>
    <w:tblStylePr w:type="lastRow">
      <w:rPr>
        <w:b/>
        <w:color w:val="5FCAF3" w:themeColor="accent4" w:themeTint="9A" w:themeShade="95"/>
        <w:sz w:val="22"/>
      </w:rPr>
      <w:tblPr/>
      <w:tcPr>
        <w:tcBorders>
          <w:top w:val="single" w:sz="4" w:space="0" w:color="0F9ED5" w:themeColor="accent4"/>
          <w:left w:val="none" w:sz="0" w:space="0" w:color="auto"/>
          <w:bottom w:val="none" w:sz="0" w:space="0" w:color="auto"/>
          <w:right w:val="none" w:sz="0" w:space="0" w:color="auto"/>
        </w:tcBorders>
        <w:shd w:val="clear" w:color="FFFFFF" w:fill="FFFFFF" w:themeFill="light1"/>
      </w:tcPr>
    </w:tblStylePr>
    <w:tblStylePr w:type="firstCol">
      <w:pPr>
        <w:jc w:val="right"/>
      </w:pPr>
      <w:rPr>
        <w:i/>
        <w:color w:val="5FCAF3" w:themeColor="accent4" w:themeTint="9A" w:themeShade="95"/>
        <w:sz w:val="22"/>
      </w:rPr>
      <w:tblPr/>
      <w:tcPr>
        <w:tcBorders>
          <w:top w:val="none" w:sz="0" w:space="0" w:color="auto"/>
          <w:left w:val="none" w:sz="0" w:space="0" w:color="auto"/>
          <w:bottom w:val="none" w:sz="0" w:space="0" w:color="auto"/>
          <w:right w:val="single" w:sz="4" w:space="0" w:color="0F9ED5" w:themeColor="accent4"/>
        </w:tcBorders>
        <w:shd w:val="clear" w:color="FFFFFF" w:fill="auto"/>
      </w:tcPr>
    </w:tblStylePr>
    <w:tblStylePr w:type="lastCol">
      <w:rPr>
        <w:i/>
        <w:color w:val="5FCAF3" w:themeColor="accent4" w:themeTint="9A" w:themeShade="95"/>
        <w:sz w:val="22"/>
      </w:rPr>
      <w:tblPr/>
      <w:tcPr>
        <w:tcBorders>
          <w:top w:val="none" w:sz="0" w:space="0" w:color="auto"/>
          <w:left w:val="single" w:sz="4" w:space="0" w:color="0F9ED5" w:themeColor="accent4"/>
          <w:bottom w:val="none" w:sz="0" w:space="0" w:color="auto"/>
          <w:right w:val="none" w:sz="0" w:space="0" w:color="auto"/>
        </w:tcBorders>
        <w:shd w:val="clear" w:color="FFFFFF" w:fill="auto"/>
      </w:tcPr>
    </w:tblStylePr>
    <w:tblStylePr w:type="band1Vert">
      <w:tblPr/>
      <w:tcPr>
        <w:shd w:val="clear" w:color="C9EDFB" w:fill="C9EDFB" w:themeFill="accent4" w:themeFillTint="34"/>
      </w:tcPr>
    </w:tblStylePr>
    <w:tblStylePr w:type="band1Horz">
      <w:rPr>
        <w:color w:val="5FCAF3" w:themeColor="accent4" w:themeTint="9A" w:themeShade="95"/>
        <w:sz w:val="22"/>
      </w:rPr>
      <w:tblPr/>
      <w:tcPr>
        <w:shd w:val="clear" w:color="C9EDFB" w:fill="C9EDFB" w:themeFill="accent4" w:themeFillTint="34"/>
      </w:tcPr>
    </w:tblStylePr>
    <w:tblStylePr w:type="band2Horz">
      <w:rPr>
        <w:color w:val="5FCAF3" w:themeColor="accent4" w:themeTint="9A" w:themeShade="95"/>
        <w:sz w:val="22"/>
      </w:rPr>
    </w:tblStylePr>
  </w:style>
  <w:style w:type="table" w:styleId="GridTable7Colorful-Accent5">
    <w:name w:val="Grid Table 7 Colorful Accent 5"/>
    <w:basedOn w:val="TableNormal"/>
    <w:uiPriority w:val="99"/>
    <w:tblPr>
      <w:tblStyleRowBandSize w:val="1"/>
      <w:tblStyleColBandSize w:val="1"/>
      <w:tblBorders>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b/>
        <w:color w:val="5D1955" w:themeColor="accent5" w:themeShade="95"/>
        <w:sz w:val="22"/>
      </w:rPr>
      <w:tblPr/>
      <w:tcPr>
        <w:tcBorders>
          <w:top w:val="none" w:sz="0" w:space="0" w:color="auto"/>
          <w:left w:val="none" w:sz="0" w:space="0" w:color="auto"/>
          <w:bottom w:val="single" w:sz="4" w:space="0" w:color="A02B93" w:themeColor="accent5"/>
          <w:right w:val="none" w:sz="0" w:space="0" w:color="auto"/>
        </w:tcBorders>
        <w:shd w:val="clear" w:color="FFFFFF" w:fill="FFFFFF" w:themeFill="light1"/>
      </w:tcPr>
    </w:tblStylePr>
    <w:tblStylePr w:type="lastRow">
      <w:rPr>
        <w:b/>
        <w:color w:val="5D1955" w:themeColor="accent5" w:themeShade="95"/>
        <w:sz w:val="22"/>
      </w:rPr>
      <w:tblPr/>
      <w:tcPr>
        <w:tcBorders>
          <w:top w:val="single" w:sz="4" w:space="0" w:color="A02B93" w:themeColor="accent5"/>
          <w:left w:val="none" w:sz="0" w:space="0" w:color="auto"/>
          <w:bottom w:val="none" w:sz="0" w:space="0" w:color="auto"/>
          <w:right w:val="none" w:sz="0" w:space="0" w:color="auto"/>
        </w:tcBorders>
        <w:shd w:val="clear" w:color="FFFFFF" w:fill="FFFFFF" w:themeFill="light1"/>
      </w:tcPr>
    </w:tblStylePr>
    <w:tblStylePr w:type="firstCol">
      <w:pPr>
        <w:jc w:val="right"/>
      </w:pPr>
      <w:rPr>
        <w:i/>
        <w:color w:val="5D1955" w:themeColor="accent5" w:themeShade="95"/>
        <w:sz w:val="22"/>
      </w:rPr>
      <w:tblPr/>
      <w:tcPr>
        <w:tcBorders>
          <w:top w:val="none" w:sz="0" w:space="0" w:color="auto"/>
          <w:left w:val="none" w:sz="0" w:space="0" w:color="auto"/>
          <w:bottom w:val="none" w:sz="0" w:space="0" w:color="auto"/>
          <w:right w:val="single" w:sz="4" w:space="0" w:color="A02B93" w:themeColor="accent5"/>
        </w:tcBorders>
        <w:shd w:val="clear" w:color="FFFFFF" w:fill="auto"/>
      </w:tcPr>
    </w:tblStylePr>
    <w:tblStylePr w:type="lastCol">
      <w:rPr>
        <w:i/>
        <w:color w:val="5D1955" w:themeColor="accent5" w:themeShade="95"/>
        <w:sz w:val="22"/>
      </w:rPr>
      <w:tblPr/>
      <w:tcPr>
        <w:tcBorders>
          <w:top w:val="none" w:sz="0" w:space="0" w:color="auto"/>
          <w:left w:val="single" w:sz="4" w:space="0" w:color="A02B93" w:themeColor="accent5"/>
          <w:bottom w:val="none" w:sz="0" w:space="0" w:color="auto"/>
          <w:right w:val="none" w:sz="0" w:space="0" w:color="auto"/>
        </w:tcBorders>
        <w:shd w:val="clear" w:color="FFFFFF" w:fill="auto"/>
      </w:tcPr>
    </w:tblStylePr>
    <w:tblStylePr w:type="band1Vert">
      <w:tblPr/>
      <w:tcPr>
        <w:shd w:val="clear" w:color="F1CDED" w:fill="F1CDED" w:themeFill="accent5" w:themeFillTint="34"/>
      </w:tcPr>
    </w:tblStylePr>
    <w:tblStylePr w:type="band1Horz">
      <w:rPr>
        <w:color w:val="5D1955" w:themeColor="accent5" w:themeShade="95"/>
        <w:sz w:val="22"/>
      </w:rPr>
      <w:tblPr/>
      <w:tcPr>
        <w:shd w:val="clear" w:color="F1CDED" w:fill="F1CDED" w:themeFill="accent5" w:themeFillTint="34"/>
      </w:tcPr>
    </w:tblStylePr>
    <w:tblStylePr w:type="band2Horz">
      <w:rPr>
        <w:color w:val="5D1955" w:themeColor="accent5" w:themeShade="95"/>
        <w:sz w:val="22"/>
      </w:rPr>
    </w:tblStylePr>
  </w:style>
  <w:style w:type="table" w:styleId="GridTable7Colorful-Accent6">
    <w:name w:val="Grid Table 7 Colorful Accent 6"/>
    <w:basedOn w:val="TableNormal"/>
    <w:uiPriority w:val="99"/>
    <w:tblPr>
      <w:tblStyleRowBandSize w:val="1"/>
      <w:tblStyleColBandSize w:val="1"/>
      <w:tblBorders>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b/>
        <w:color w:val="2D611B" w:themeColor="accent6" w:themeShade="95"/>
        <w:sz w:val="22"/>
      </w:rPr>
      <w:tblPr/>
      <w:tcPr>
        <w:tcBorders>
          <w:top w:val="none" w:sz="0" w:space="0" w:color="auto"/>
          <w:left w:val="none" w:sz="0" w:space="0" w:color="auto"/>
          <w:bottom w:val="single" w:sz="4" w:space="0" w:color="4EA72E" w:themeColor="accent6"/>
          <w:right w:val="none" w:sz="0" w:space="0" w:color="auto"/>
        </w:tcBorders>
        <w:shd w:val="clear" w:color="FFFFFF" w:fill="FFFFFF" w:themeFill="light1"/>
      </w:tcPr>
    </w:tblStylePr>
    <w:tblStylePr w:type="lastRow">
      <w:rPr>
        <w:b/>
        <w:color w:val="2D611B" w:themeColor="accent6" w:themeShade="95"/>
        <w:sz w:val="22"/>
      </w:rPr>
      <w:tblPr/>
      <w:tcPr>
        <w:tcBorders>
          <w:top w:val="single" w:sz="4" w:space="0" w:color="4EA72E" w:themeColor="accent6"/>
          <w:left w:val="none" w:sz="0" w:space="0" w:color="auto"/>
          <w:bottom w:val="none" w:sz="0" w:space="0" w:color="auto"/>
          <w:right w:val="none" w:sz="0" w:space="0" w:color="auto"/>
        </w:tcBorders>
        <w:shd w:val="clear" w:color="FFFFFF" w:fill="FFFFFF" w:themeFill="light1"/>
      </w:tcPr>
    </w:tblStylePr>
    <w:tblStylePr w:type="firstCol">
      <w:pPr>
        <w:jc w:val="right"/>
      </w:pPr>
      <w:rPr>
        <w:i/>
        <w:color w:val="2D611B" w:themeColor="accent6" w:themeShade="95"/>
        <w:sz w:val="22"/>
      </w:rPr>
      <w:tblPr/>
      <w:tcPr>
        <w:tcBorders>
          <w:top w:val="none" w:sz="0" w:space="0" w:color="auto"/>
          <w:left w:val="none" w:sz="0" w:space="0" w:color="auto"/>
          <w:bottom w:val="none" w:sz="0" w:space="0" w:color="auto"/>
          <w:right w:val="single" w:sz="4" w:space="0" w:color="4EA72E" w:themeColor="accent6"/>
        </w:tcBorders>
        <w:shd w:val="clear" w:color="FFFFFF" w:fill="auto"/>
      </w:tcPr>
    </w:tblStylePr>
    <w:tblStylePr w:type="lastCol">
      <w:rPr>
        <w:i/>
        <w:color w:val="2D611B" w:themeColor="accent6" w:themeShade="95"/>
        <w:sz w:val="22"/>
      </w:rPr>
      <w:tblPr/>
      <w:tcPr>
        <w:tcBorders>
          <w:top w:val="none" w:sz="0" w:space="0" w:color="auto"/>
          <w:left w:val="single" w:sz="4" w:space="0" w:color="4EA72E" w:themeColor="accent6"/>
          <w:bottom w:val="none" w:sz="0" w:space="0" w:color="auto"/>
          <w:right w:val="none" w:sz="0" w:space="0" w:color="auto"/>
        </w:tcBorders>
        <w:shd w:val="clear" w:color="FFFFFF" w:fill="auto"/>
      </w:tcPr>
    </w:tblStylePr>
    <w:tblStylePr w:type="band1Vert">
      <w:tblPr/>
      <w:tcPr>
        <w:shd w:val="clear" w:color="D8F2CF" w:fill="D8F2CF" w:themeFill="accent6" w:themeFillTint="34"/>
      </w:tcPr>
    </w:tblStylePr>
    <w:tblStylePr w:type="band1Horz">
      <w:rPr>
        <w:color w:val="2D611B" w:themeColor="accent6" w:themeShade="95"/>
        <w:sz w:val="22"/>
      </w:rPr>
      <w:tblPr/>
      <w:tcPr>
        <w:shd w:val="clear" w:color="D8F2CF" w:fill="D8F2CF" w:themeFill="accent6" w:themeFillTint="34"/>
      </w:tcPr>
    </w:tblStylePr>
    <w:tblStylePr w:type="band2Horz">
      <w:rPr>
        <w:color w:val="2D611B" w:themeColor="accent6" w:themeShade="95"/>
        <w:sz w:val="22"/>
      </w:rPr>
    </w:tblStylePr>
  </w:style>
  <w:style w:type="table" w:styleId="ListTable1Light">
    <w:name w:val="List Table 1 Light"/>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000000" w:themeColor="text1"/>
          <w:right w:val="none" w:sz="4" w:space="0" w:color="000000"/>
        </w:tcBorders>
      </w:tcPr>
    </w:tblStylePr>
    <w:tblStylePr w:type="lastRow">
      <w:rPr>
        <w:b/>
      </w:rPr>
      <w:tblPr/>
      <w:tcPr>
        <w:tcBorders>
          <w:top w:val="single" w:sz="4" w:space="0" w:color="000000" w:themeColor="text1"/>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BFBFBF" w:fill="BFBFBF" w:themeFill="text1" w:themeFillTint="40"/>
      </w:tcPr>
    </w:tblStylePr>
    <w:tblStylePr w:type="band1Horz">
      <w:tblPr/>
      <w:tcPr>
        <w:shd w:val="clear" w:color="BFBFBF" w:fill="BFBFBF" w:themeFill="text1" w:themeFillTint="40"/>
      </w:tcPr>
    </w:tblStylePr>
  </w:style>
  <w:style w:type="table" w:styleId="ListTable1Light-Accent1">
    <w:name w:val="List Table 1 Light Accent 1"/>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156082" w:themeColor="accent1"/>
          <w:right w:val="none" w:sz="4" w:space="0" w:color="000000"/>
        </w:tcBorders>
      </w:tcPr>
    </w:tblStylePr>
    <w:tblStylePr w:type="lastRow">
      <w:rPr>
        <w:b/>
      </w:rPr>
      <w:tblPr/>
      <w:tcPr>
        <w:tcBorders>
          <w:top w:val="single" w:sz="4" w:space="0" w:color="156082" w:themeColor="accent1"/>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B1DEF2" w:fill="B1DEF2" w:themeFill="accent1" w:themeFillTint="40"/>
      </w:tcPr>
    </w:tblStylePr>
    <w:tblStylePr w:type="band1Horz">
      <w:tblPr/>
      <w:tcPr>
        <w:shd w:val="clear" w:color="B1DEF2" w:fill="B1DEF2" w:themeFill="accent1" w:themeFillTint="40"/>
      </w:tcPr>
    </w:tblStylePr>
  </w:style>
  <w:style w:type="table" w:styleId="ListTable1Light-Accent2">
    <w:name w:val="List Table 1 Light Accent 2"/>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E97132" w:themeColor="accent2"/>
          <w:right w:val="none" w:sz="4" w:space="0" w:color="000000"/>
        </w:tcBorders>
      </w:tcPr>
    </w:tblStylePr>
    <w:tblStylePr w:type="lastRow">
      <w:rPr>
        <w:b/>
      </w:rPr>
      <w:tblPr/>
      <w:tcPr>
        <w:tcBorders>
          <w:top w:val="single" w:sz="4" w:space="0" w:color="E97132" w:themeColor="accent2"/>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F9DBCB" w:fill="F9DBCB" w:themeFill="accent2" w:themeFillTint="40"/>
      </w:tcPr>
    </w:tblStylePr>
    <w:tblStylePr w:type="band1Horz">
      <w:tblPr/>
      <w:tcPr>
        <w:shd w:val="clear" w:color="F9DBCB" w:fill="F9DBCB" w:themeFill="accent2" w:themeFillTint="40"/>
      </w:tcPr>
    </w:tblStylePr>
  </w:style>
  <w:style w:type="table" w:styleId="ListTable1Light-Accent3">
    <w:name w:val="List Table 1 Light Accent 3"/>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196B24" w:themeColor="accent3"/>
          <w:right w:val="none" w:sz="4" w:space="0" w:color="000000"/>
        </w:tcBorders>
      </w:tcPr>
    </w:tblStylePr>
    <w:tblStylePr w:type="lastRow">
      <w:rPr>
        <w:b/>
      </w:rPr>
      <w:tblPr/>
      <w:tcPr>
        <w:tcBorders>
          <w:top w:val="single" w:sz="4" w:space="0" w:color="196B24" w:themeColor="accent3"/>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B2EDB9" w:fill="B2EDB9" w:themeFill="accent3" w:themeFillTint="40"/>
      </w:tcPr>
    </w:tblStylePr>
    <w:tblStylePr w:type="band1Horz">
      <w:tblPr/>
      <w:tcPr>
        <w:shd w:val="clear" w:color="B2EDB9" w:fill="B2EDB9" w:themeFill="accent3" w:themeFillTint="40"/>
      </w:tcPr>
    </w:tblStylePr>
  </w:style>
  <w:style w:type="table" w:styleId="ListTable1Light-Accent4">
    <w:name w:val="List Table 1 Light Accent 4"/>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0F9ED5" w:themeColor="accent4"/>
          <w:right w:val="none" w:sz="4" w:space="0" w:color="000000"/>
        </w:tcBorders>
      </w:tcPr>
    </w:tblStylePr>
    <w:tblStylePr w:type="lastRow">
      <w:rPr>
        <w:b/>
      </w:rPr>
      <w:tblPr/>
      <w:tcPr>
        <w:tcBorders>
          <w:top w:val="single" w:sz="4" w:space="0" w:color="0F9ED5" w:themeColor="accent4"/>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BCE9FA" w:fill="BCE9FA" w:themeFill="accent4" w:themeFillTint="40"/>
      </w:tcPr>
    </w:tblStylePr>
    <w:tblStylePr w:type="band1Horz">
      <w:tblPr/>
      <w:tcPr>
        <w:shd w:val="clear" w:color="BCE9FA" w:fill="BCE9FA" w:themeFill="accent4" w:themeFillTint="40"/>
      </w:tcPr>
    </w:tblStylePr>
  </w:style>
  <w:style w:type="table" w:styleId="ListTable1Light-Accent5">
    <w:name w:val="List Table 1 Light Accent 5"/>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A02B93" w:themeColor="accent5"/>
          <w:right w:val="none" w:sz="4" w:space="0" w:color="000000"/>
        </w:tcBorders>
      </w:tcPr>
    </w:tblStylePr>
    <w:tblStylePr w:type="lastRow">
      <w:rPr>
        <w:b/>
      </w:rPr>
      <w:tblPr/>
      <w:tcPr>
        <w:tcBorders>
          <w:top w:val="single" w:sz="4" w:space="0" w:color="A02B93" w:themeColor="accent5"/>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EEC2E9" w:fill="EEC2E9" w:themeFill="accent5" w:themeFillTint="40"/>
      </w:tcPr>
    </w:tblStylePr>
    <w:tblStylePr w:type="band1Horz">
      <w:tblPr/>
      <w:tcPr>
        <w:shd w:val="clear" w:color="EEC2E9" w:fill="EEC2E9" w:themeFill="accent5" w:themeFillTint="40"/>
      </w:tcPr>
    </w:tblStylePr>
  </w:style>
  <w:style w:type="table" w:styleId="ListTable1Light-Accent6">
    <w:name w:val="List Table 1 Light Accent 6"/>
    <w:basedOn w:val="TableNormal"/>
    <w:uiPriority w:val="99"/>
    <w:tblPr>
      <w:tblStyleRowBandSize w:val="1"/>
      <w:tblStyleColBandSize w:val="1"/>
    </w:tblPr>
    <w:tblStylePr w:type="firstRow">
      <w:rPr>
        <w:b/>
      </w:rPr>
      <w:tblPr/>
      <w:tcPr>
        <w:tcBorders>
          <w:top w:val="none" w:sz="4" w:space="0" w:color="000000"/>
          <w:left w:val="none" w:sz="4" w:space="0" w:color="000000"/>
          <w:bottom w:val="single" w:sz="4" w:space="0" w:color="4EA72E" w:themeColor="accent6"/>
          <w:right w:val="none" w:sz="4" w:space="0" w:color="000000"/>
        </w:tcBorders>
      </w:tcPr>
    </w:tblStylePr>
    <w:tblStylePr w:type="lastRow">
      <w:rPr>
        <w:b/>
      </w:rPr>
      <w:tblPr/>
      <w:tcPr>
        <w:tcBorders>
          <w:top w:val="single" w:sz="4" w:space="0" w:color="4EA72E" w:themeColor="accent6"/>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CFEFC4" w:fill="CFEFC4" w:themeFill="accent6" w:themeFillTint="40"/>
      </w:tcPr>
    </w:tblStylePr>
    <w:tblStylePr w:type="band1Horz">
      <w:tblPr/>
      <w:tcPr>
        <w:shd w:val="clear" w:color="CFEFC4" w:fill="CFEFC4" w:themeFill="accent6" w:themeFillTint="40"/>
      </w:tcPr>
    </w:tblStylePr>
  </w:style>
  <w:style w:type="table" w:styleId="ListTable2">
    <w:name w:val="List Table 2"/>
    <w:basedOn w:val="Table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b/>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lastRow">
      <w:rPr>
        <w:b/>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firstCol">
      <w:rPr>
        <w:b/>
        <w:sz w:val="22"/>
      </w:rPr>
    </w:tblStylePr>
    <w:tblStylePr w:type="lastCol">
      <w:rPr>
        <w:b/>
        <w:sz w:val="22"/>
      </w:rPr>
    </w:tblStylePr>
    <w:tblStylePr w:type="band1Vert">
      <w:rPr>
        <w:sz w:val="22"/>
      </w:rPr>
      <w:tblPr/>
      <w:tcPr>
        <w:shd w:val="clear" w:color="BFBFBF" w:fill="BFBFBF" w:themeFill="text1" w:themeFillTint="40"/>
      </w:tcPr>
    </w:tblStylePr>
    <w:tblStylePr w:type="band1Horz">
      <w:rPr>
        <w:sz w:val="22"/>
      </w:rPr>
      <w:tblPr/>
      <w:tcPr>
        <w:shd w:val="clear" w:color="BFBFBF" w:fill="BFBFBF" w:themeFill="text1" w:themeFillTint="40"/>
      </w:tcPr>
    </w:tblStylePr>
  </w:style>
  <w:style w:type="table" w:styleId="ListTable2-Accent1">
    <w:name w:val="List Table 2 Accent 1"/>
    <w:basedOn w:val="TableNormal"/>
    <w:uiPriority w:val="99"/>
    <w:tblPr>
      <w:tblStyleRowBandSize w:val="1"/>
      <w:tblStyleColBandSize w:val="1"/>
      <w:tblBorders>
        <w:top w:val="single" w:sz="4" w:space="0" w:color="50B4E2" w:themeColor="accent1" w:themeTint="90"/>
        <w:bottom w:val="single" w:sz="4" w:space="0" w:color="50B4E2" w:themeColor="accent1" w:themeTint="90"/>
        <w:insideH w:val="single" w:sz="4" w:space="0" w:color="50B4E2" w:themeColor="accent1" w:themeTint="90"/>
      </w:tblBorders>
    </w:tblPr>
    <w:tblStylePr w:type="firstRow">
      <w:rPr>
        <w:b/>
        <w:sz w:val="22"/>
      </w:rPr>
      <w:tblPr/>
      <w:tcPr>
        <w:tcBorders>
          <w:top w:val="single" w:sz="4" w:space="0" w:color="156082" w:themeColor="accent1"/>
          <w:left w:val="none" w:sz="4" w:space="0" w:color="000000"/>
          <w:bottom w:val="single" w:sz="4" w:space="0" w:color="156082" w:themeColor="accent1"/>
          <w:right w:val="none" w:sz="4" w:space="0" w:color="000000"/>
        </w:tcBorders>
      </w:tcPr>
    </w:tblStylePr>
    <w:tblStylePr w:type="lastRow">
      <w:rPr>
        <w:b/>
        <w:sz w:val="22"/>
      </w:rPr>
      <w:tblPr/>
      <w:tcPr>
        <w:tcBorders>
          <w:top w:val="single" w:sz="4" w:space="0" w:color="156082" w:themeColor="accent1"/>
          <w:left w:val="none" w:sz="4" w:space="0" w:color="000000"/>
          <w:bottom w:val="single" w:sz="4" w:space="0" w:color="156082" w:themeColor="accent1"/>
          <w:right w:val="none" w:sz="4" w:space="0" w:color="000000"/>
        </w:tcBorders>
      </w:tcPr>
    </w:tblStylePr>
    <w:tblStylePr w:type="firstCol">
      <w:rPr>
        <w:b/>
        <w:sz w:val="22"/>
      </w:rPr>
    </w:tblStylePr>
    <w:tblStylePr w:type="lastCol">
      <w:rPr>
        <w:b/>
        <w:sz w:val="22"/>
      </w:rPr>
    </w:tblStylePr>
    <w:tblStylePr w:type="band1Vert">
      <w:rPr>
        <w:sz w:val="22"/>
      </w:rPr>
      <w:tblPr/>
      <w:tcPr>
        <w:shd w:val="clear" w:color="B1DEF2" w:fill="B1DEF2" w:themeFill="accent1" w:themeFillTint="40"/>
      </w:tcPr>
    </w:tblStylePr>
    <w:tblStylePr w:type="band1Horz">
      <w:rPr>
        <w:sz w:val="22"/>
      </w:rPr>
      <w:tblPr/>
      <w:tcPr>
        <w:shd w:val="clear" w:color="B1DEF2" w:fill="B1DEF2" w:themeFill="accent1" w:themeFillTint="40"/>
      </w:tcPr>
    </w:tblStylePr>
  </w:style>
  <w:style w:type="table" w:styleId="ListTable2-Accent2">
    <w:name w:val="List Table 2 Accent 2"/>
    <w:basedOn w:val="TableNormal"/>
    <w:uiPriority w:val="99"/>
    <w:tblPr>
      <w:tblStyleRowBandSize w:val="1"/>
      <w:tblStyleColBandSize w:val="1"/>
      <w:tblBorders>
        <w:top w:val="single" w:sz="4" w:space="0" w:color="F2AE8B" w:themeColor="accent2" w:themeTint="90"/>
        <w:bottom w:val="single" w:sz="4" w:space="0" w:color="F2AE8B" w:themeColor="accent2" w:themeTint="90"/>
        <w:insideH w:val="single" w:sz="4" w:space="0" w:color="F2AE8B" w:themeColor="accent2" w:themeTint="90"/>
      </w:tblBorders>
    </w:tblPr>
    <w:tblStylePr w:type="firstRow">
      <w:rPr>
        <w:b/>
        <w:sz w:val="22"/>
      </w:rPr>
      <w:tblPr/>
      <w:tcPr>
        <w:tcBorders>
          <w:top w:val="single" w:sz="4" w:space="0" w:color="E97132" w:themeColor="accent2"/>
          <w:left w:val="none" w:sz="4" w:space="0" w:color="000000"/>
          <w:bottom w:val="single" w:sz="4" w:space="0" w:color="E97132" w:themeColor="accent2"/>
          <w:right w:val="none" w:sz="4" w:space="0" w:color="000000"/>
        </w:tcBorders>
      </w:tcPr>
    </w:tblStylePr>
    <w:tblStylePr w:type="lastRow">
      <w:rPr>
        <w:b/>
        <w:sz w:val="22"/>
      </w:rPr>
      <w:tblPr/>
      <w:tcPr>
        <w:tcBorders>
          <w:top w:val="single" w:sz="4" w:space="0" w:color="E97132" w:themeColor="accent2"/>
          <w:left w:val="none" w:sz="4" w:space="0" w:color="000000"/>
          <w:bottom w:val="single" w:sz="4" w:space="0" w:color="E97132" w:themeColor="accent2"/>
          <w:right w:val="none" w:sz="4" w:space="0" w:color="000000"/>
        </w:tcBorders>
      </w:tcPr>
    </w:tblStylePr>
    <w:tblStylePr w:type="firstCol">
      <w:rPr>
        <w:b/>
        <w:sz w:val="22"/>
      </w:rPr>
    </w:tblStylePr>
    <w:tblStylePr w:type="lastCol">
      <w:rPr>
        <w:b/>
        <w:sz w:val="22"/>
      </w:rPr>
    </w:tblStylePr>
    <w:tblStylePr w:type="band1Vert">
      <w:rPr>
        <w:sz w:val="22"/>
      </w:rPr>
      <w:tblPr/>
      <w:tcPr>
        <w:shd w:val="clear" w:color="F9DBCB" w:fill="F9DBCB" w:themeFill="accent2" w:themeFillTint="40"/>
      </w:tcPr>
    </w:tblStylePr>
    <w:tblStylePr w:type="band1Horz">
      <w:rPr>
        <w:sz w:val="22"/>
      </w:rPr>
      <w:tblPr/>
      <w:tcPr>
        <w:shd w:val="clear" w:color="F9DBCB" w:fill="F9DBCB" w:themeFill="accent2" w:themeFillTint="40"/>
      </w:tcPr>
    </w:tblStylePr>
  </w:style>
  <w:style w:type="table" w:styleId="ListTable2-Accent3">
    <w:name w:val="List Table 2 Accent 3"/>
    <w:basedOn w:val="TableNormal"/>
    <w:uiPriority w:val="99"/>
    <w:tblPr>
      <w:tblStyleRowBandSize w:val="1"/>
      <w:tblStyleColBandSize w:val="1"/>
      <w:tblBorders>
        <w:top w:val="single" w:sz="4" w:space="0" w:color="51D663" w:themeColor="accent3" w:themeTint="90"/>
        <w:bottom w:val="single" w:sz="4" w:space="0" w:color="51D663" w:themeColor="accent3" w:themeTint="90"/>
        <w:insideH w:val="single" w:sz="4" w:space="0" w:color="51D663" w:themeColor="accent3" w:themeTint="90"/>
      </w:tblBorders>
    </w:tblPr>
    <w:tblStylePr w:type="firstRow">
      <w:rPr>
        <w:b/>
        <w:sz w:val="22"/>
      </w:rPr>
      <w:tblPr/>
      <w:tcPr>
        <w:tcBorders>
          <w:top w:val="single" w:sz="4" w:space="0" w:color="196B24" w:themeColor="accent3"/>
          <w:left w:val="none" w:sz="4" w:space="0" w:color="000000"/>
          <w:bottom w:val="single" w:sz="4" w:space="0" w:color="196B24" w:themeColor="accent3"/>
          <w:right w:val="none" w:sz="4" w:space="0" w:color="000000"/>
        </w:tcBorders>
      </w:tcPr>
    </w:tblStylePr>
    <w:tblStylePr w:type="lastRow">
      <w:rPr>
        <w:b/>
        <w:sz w:val="22"/>
      </w:rPr>
      <w:tblPr/>
      <w:tcPr>
        <w:tcBorders>
          <w:top w:val="single" w:sz="4" w:space="0" w:color="196B24" w:themeColor="accent3"/>
          <w:left w:val="none" w:sz="4" w:space="0" w:color="000000"/>
          <w:bottom w:val="single" w:sz="4" w:space="0" w:color="196B24" w:themeColor="accent3"/>
          <w:right w:val="none" w:sz="4" w:space="0" w:color="000000"/>
        </w:tcBorders>
      </w:tcPr>
    </w:tblStylePr>
    <w:tblStylePr w:type="firstCol">
      <w:rPr>
        <w:b/>
        <w:sz w:val="22"/>
      </w:rPr>
    </w:tblStylePr>
    <w:tblStylePr w:type="lastCol">
      <w:rPr>
        <w:b/>
        <w:sz w:val="22"/>
      </w:rPr>
    </w:tblStylePr>
    <w:tblStylePr w:type="band1Vert">
      <w:rPr>
        <w:sz w:val="22"/>
      </w:rPr>
      <w:tblPr/>
      <w:tcPr>
        <w:shd w:val="clear" w:color="B2EDB9" w:fill="B2EDB9" w:themeFill="accent3" w:themeFillTint="40"/>
      </w:tcPr>
    </w:tblStylePr>
    <w:tblStylePr w:type="band1Horz">
      <w:rPr>
        <w:sz w:val="22"/>
      </w:rPr>
      <w:tblPr/>
      <w:tcPr>
        <w:shd w:val="clear" w:color="B2EDB9" w:fill="B2EDB9" w:themeFill="accent3" w:themeFillTint="40"/>
      </w:tcPr>
    </w:tblStylePr>
  </w:style>
  <w:style w:type="table" w:styleId="ListTable2-Accent4">
    <w:name w:val="List Table 2 Accent 4"/>
    <w:basedOn w:val="TableNormal"/>
    <w:uiPriority w:val="99"/>
    <w:tblPr>
      <w:tblStyleRowBandSize w:val="1"/>
      <w:tblStyleColBandSize w:val="1"/>
      <w:tblBorders>
        <w:top w:val="single" w:sz="4" w:space="0" w:color="6ACDF4" w:themeColor="accent4" w:themeTint="90"/>
        <w:bottom w:val="single" w:sz="4" w:space="0" w:color="6ACDF4" w:themeColor="accent4" w:themeTint="90"/>
        <w:insideH w:val="single" w:sz="4" w:space="0" w:color="6ACDF4" w:themeColor="accent4" w:themeTint="90"/>
      </w:tblBorders>
    </w:tblPr>
    <w:tblStylePr w:type="firstRow">
      <w:rPr>
        <w:b/>
        <w:sz w:val="22"/>
      </w:rPr>
      <w:tblPr/>
      <w:tcPr>
        <w:tcBorders>
          <w:top w:val="single" w:sz="4" w:space="0" w:color="0F9ED5" w:themeColor="accent4"/>
          <w:left w:val="none" w:sz="4" w:space="0" w:color="000000"/>
          <w:bottom w:val="single" w:sz="4" w:space="0" w:color="0F9ED5" w:themeColor="accent4"/>
          <w:right w:val="none" w:sz="4" w:space="0" w:color="000000"/>
        </w:tcBorders>
      </w:tcPr>
    </w:tblStylePr>
    <w:tblStylePr w:type="lastRow">
      <w:rPr>
        <w:b/>
        <w:sz w:val="22"/>
      </w:rPr>
      <w:tblPr/>
      <w:tcPr>
        <w:tcBorders>
          <w:top w:val="single" w:sz="4" w:space="0" w:color="0F9ED5" w:themeColor="accent4"/>
          <w:left w:val="none" w:sz="4" w:space="0" w:color="000000"/>
          <w:bottom w:val="single" w:sz="4" w:space="0" w:color="0F9ED5" w:themeColor="accent4"/>
          <w:right w:val="none" w:sz="4" w:space="0" w:color="000000"/>
        </w:tcBorders>
      </w:tcPr>
    </w:tblStylePr>
    <w:tblStylePr w:type="firstCol">
      <w:rPr>
        <w:b/>
        <w:sz w:val="22"/>
      </w:rPr>
    </w:tblStylePr>
    <w:tblStylePr w:type="lastCol">
      <w:rPr>
        <w:b/>
        <w:sz w:val="22"/>
      </w:rPr>
    </w:tblStylePr>
    <w:tblStylePr w:type="band1Vert">
      <w:rPr>
        <w:sz w:val="22"/>
      </w:rPr>
      <w:tblPr/>
      <w:tcPr>
        <w:shd w:val="clear" w:color="BCE9FA" w:fill="BCE9FA" w:themeFill="accent4" w:themeFillTint="40"/>
      </w:tcPr>
    </w:tblStylePr>
    <w:tblStylePr w:type="band1Horz">
      <w:rPr>
        <w:sz w:val="22"/>
      </w:rPr>
      <w:tblPr/>
      <w:tcPr>
        <w:shd w:val="clear" w:color="BCE9FA" w:fill="BCE9FA" w:themeFill="accent4" w:themeFillTint="40"/>
      </w:tcPr>
    </w:tblStylePr>
  </w:style>
  <w:style w:type="table" w:styleId="ListTable2-Accent5">
    <w:name w:val="List Table 2 Accent 5"/>
    <w:basedOn w:val="TableNormal"/>
    <w:uiPriority w:val="99"/>
    <w:tblPr>
      <w:tblStyleRowBandSize w:val="1"/>
      <w:tblStyleColBandSize w:val="1"/>
      <w:tblBorders>
        <w:top w:val="single" w:sz="4" w:space="0" w:color="DA76CE" w:themeColor="accent5" w:themeTint="90"/>
        <w:bottom w:val="single" w:sz="4" w:space="0" w:color="DA76CE" w:themeColor="accent5" w:themeTint="90"/>
        <w:insideH w:val="single" w:sz="4" w:space="0" w:color="DA76CE" w:themeColor="accent5" w:themeTint="90"/>
      </w:tblBorders>
    </w:tblPr>
    <w:tblStylePr w:type="firstRow">
      <w:rPr>
        <w:b/>
        <w:sz w:val="22"/>
      </w:rPr>
      <w:tblPr/>
      <w:tcPr>
        <w:tcBorders>
          <w:top w:val="single" w:sz="4" w:space="0" w:color="A02B93" w:themeColor="accent5"/>
          <w:left w:val="none" w:sz="4" w:space="0" w:color="000000"/>
          <w:bottom w:val="single" w:sz="4" w:space="0" w:color="A02B93" w:themeColor="accent5"/>
          <w:right w:val="none" w:sz="4" w:space="0" w:color="000000"/>
        </w:tcBorders>
      </w:tcPr>
    </w:tblStylePr>
    <w:tblStylePr w:type="lastRow">
      <w:rPr>
        <w:b/>
        <w:sz w:val="22"/>
      </w:rPr>
      <w:tblPr/>
      <w:tcPr>
        <w:tcBorders>
          <w:top w:val="single" w:sz="4" w:space="0" w:color="A02B93" w:themeColor="accent5"/>
          <w:left w:val="none" w:sz="4" w:space="0" w:color="000000"/>
          <w:bottom w:val="single" w:sz="4" w:space="0" w:color="A02B93" w:themeColor="accent5"/>
          <w:right w:val="none" w:sz="4" w:space="0" w:color="000000"/>
        </w:tcBorders>
      </w:tcPr>
    </w:tblStylePr>
    <w:tblStylePr w:type="firstCol">
      <w:rPr>
        <w:b/>
        <w:sz w:val="22"/>
      </w:rPr>
    </w:tblStylePr>
    <w:tblStylePr w:type="lastCol">
      <w:rPr>
        <w:b/>
        <w:sz w:val="22"/>
      </w:rPr>
    </w:tblStylePr>
    <w:tblStylePr w:type="band1Vert">
      <w:rPr>
        <w:sz w:val="22"/>
      </w:rPr>
      <w:tblPr/>
      <w:tcPr>
        <w:shd w:val="clear" w:color="EEC2E9" w:fill="EEC2E9" w:themeFill="accent5" w:themeFillTint="40"/>
      </w:tcPr>
    </w:tblStylePr>
    <w:tblStylePr w:type="band1Horz">
      <w:rPr>
        <w:sz w:val="22"/>
      </w:rPr>
      <w:tblPr/>
      <w:tcPr>
        <w:shd w:val="clear" w:color="EEC2E9" w:fill="EEC2E9" w:themeFill="accent5" w:themeFillTint="40"/>
      </w:tcPr>
    </w:tblStylePr>
  </w:style>
  <w:style w:type="table" w:styleId="ListTable2-Accent6">
    <w:name w:val="List Table 2 Accent 6"/>
    <w:basedOn w:val="TableNormal"/>
    <w:uiPriority w:val="99"/>
    <w:tblPr>
      <w:tblStyleRowBandSize w:val="1"/>
      <w:tblStyleColBandSize w:val="1"/>
      <w:tblBorders>
        <w:top w:val="single" w:sz="4" w:space="0" w:color="94DA7B" w:themeColor="accent6" w:themeTint="90"/>
        <w:bottom w:val="single" w:sz="4" w:space="0" w:color="94DA7B" w:themeColor="accent6" w:themeTint="90"/>
        <w:insideH w:val="single" w:sz="4" w:space="0" w:color="94DA7B" w:themeColor="accent6" w:themeTint="90"/>
      </w:tblBorders>
    </w:tblPr>
    <w:tblStylePr w:type="firstRow">
      <w:rPr>
        <w:b/>
        <w:sz w:val="22"/>
      </w:rPr>
      <w:tblPr/>
      <w:tcPr>
        <w:tcBorders>
          <w:top w:val="single" w:sz="4" w:space="0" w:color="4EA72E" w:themeColor="accent6"/>
          <w:left w:val="none" w:sz="4" w:space="0" w:color="000000"/>
          <w:bottom w:val="single" w:sz="4" w:space="0" w:color="4EA72E" w:themeColor="accent6"/>
          <w:right w:val="none" w:sz="4" w:space="0" w:color="000000"/>
        </w:tcBorders>
      </w:tcPr>
    </w:tblStylePr>
    <w:tblStylePr w:type="lastRow">
      <w:rPr>
        <w:b/>
        <w:sz w:val="22"/>
      </w:rPr>
      <w:tblPr/>
      <w:tcPr>
        <w:tcBorders>
          <w:top w:val="single" w:sz="4" w:space="0" w:color="4EA72E" w:themeColor="accent6"/>
          <w:left w:val="none" w:sz="4" w:space="0" w:color="000000"/>
          <w:bottom w:val="single" w:sz="4" w:space="0" w:color="4EA72E" w:themeColor="accent6"/>
          <w:right w:val="none" w:sz="4" w:space="0" w:color="000000"/>
        </w:tcBorders>
      </w:tcPr>
    </w:tblStylePr>
    <w:tblStylePr w:type="firstCol">
      <w:rPr>
        <w:b/>
        <w:sz w:val="22"/>
      </w:rPr>
    </w:tblStylePr>
    <w:tblStylePr w:type="lastCol">
      <w:rPr>
        <w:b/>
        <w:sz w:val="22"/>
      </w:rPr>
    </w:tblStylePr>
    <w:tblStylePr w:type="band1Vert">
      <w:rPr>
        <w:sz w:val="22"/>
      </w:rPr>
      <w:tblPr/>
      <w:tcPr>
        <w:shd w:val="clear" w:color="CFEFC4" w:fill="CFEFC4" w:themeFill="accent6" w:themeFillTint="40"/>
      </w:tcPr>
    </w:tblStylePr>
    <w:tblStylePr w:type="band1Horz">
      <w:rPr>
        <w:sz w:val="22"/>
      </w:rPr>
      <w:tblPr/>
      <w:tcPr>
        <w:shd w:val="clear" w:color="CFEFC4" w:fill="CFEFC4" w:themeFill="accent6" w:themeFillTint="40"/>
      </w:tcPr>
    </w:tblStylePr>
  </w:style>
  <w:style w:type="table" w:styleId="ListTable3">
    <w:name w:val="List Table 3"/>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sz w:val="22"/>
      </w:rPr>
      <w:tblPr/>
      <w:tcPr>
        <w:shd w:val="clear" w:color="000000" w:fill="000000" w:themeFill="text1"/>
      </w:tcPr>
    </w:tblStylePr>
    <w:tblStylePr w:type="lastRow">
      <w:rPr>
        <w:b/>
      </w:rPr>
    </w:tblStylePr>
    <w:tblStylePr w:type="firstCol">
      <w:rPr>
        <w:b/>
      </w:rPr>
    </w:tblStylePr>
    <w:tblStylePr w:type="lastCol">
      <w:rPr>
        <w:b/>
      </w:rPr>
    </w:tblStylePr>
    <w:tblStylePr w:type="band1Vert">
      <w:rPr>
        <w:sz w:val="22"/>
      </w:rPr>
      <w:tblPr/>
      <w:tcPr>
        <w:tcBorders>
          <w:left w:val="single" w:sz="4" w:space="0" w:color="000000" w:themeColor="text1"/>
          <w:right w:val="single" w:sz="4" w:space="0" w:color="000000" w:themeColor="text1"/>
        </w:tcBorders>
      </w:tcPr>
    </w:tblStylePr>
    <w:tblStylePr w:type="band1Horz">
      <w:rPr>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sz w:val="22"/>
      </w:rPr>
      <w:tblPr/>
      <w:tcPr>
        <w:shd w:val="clear" w:color="156082" w:fill="156082" w:themeFill="accent1"/>
      </w:tcPr>
    </w:tblStylePr>
    <w:tblStylePr w:type="lastRow">
      <w:rPr>
        <w:b/>
      </w:rPr>
    </w:tblStylePr>
    <w:tblStylePr w:type="firstCol">
      <w:rPr>
        <w:b/>
      </w:rPr>
    </w:tblStylePr>
    <w:tblStylePr w:type="lastCol">
      <w:rPr>
        <w:b/>
      </w:rPr>
    </w:tblStylePr>
    <w:tblStylePr w:type="band1Vert">
      <w:rPr>
        <w:sz w:val="22"/>
      </w:rPr>
      <w:tblPr/>
      <w:tcPr>
        <w:tcBorders>
          <w:left w:val="single" w:sz="4" w:space="0" w:color="156082" w:themeColor="accent1"/>
          <w:right w:val="single" w:sz="4" w:space="0" w:color="156082" w:themeColor="accent1"/>
        </w:tcBorders>
      </w:tcPr>
    </w:tblStylePr>
    <w:tblStylePr w:type="band1Horz">
      <w:rPr>
        <w:sz w:val="22"/>
      </w:rPr>
      <w:tblPr/>
      <w:tcPr>
        <w:tcBorders>
          <w:top w:val="single" w:sz="4" w:space="0" w:color="156082" w:themeColor="accent1"/>
          <w:bottom w:val="single" w:sz="4" w:space="0" w:color="156082" w:themeColor="accent1"/>
        </w:tcBorders>
      </w:tcPr>
    </w:tblStylePr>
  </w:style>
  <w:style w:type="table" w:styleId="ListTable3-Accent2">
    <w:name w:val="List Table 3 Accent 2"/>
    <w:basedOn w:val="TableNormal"/>
    <w:uiPriority w:val="99"/>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blBorders>
    </w:tblPr>
    <w:tblStylePr w:type="firstRow">
      <w:rPr>
        <w:b/>
        <w:sz w:val="22"/>
      </w:rPr>
      <w:tblPr/>
      <w:tcPr>
        <w:shd w:val="clear" w:color="F2AA85" w:fill="F2AA85" w:themeFill="accent2" w:themeFillTint="97"/>
      </w:tcPr>
    </w:tblStylePr>
    <w:tblStylePr w:type="lastRow">
      <w:rPr>
        <w:b/>
      </w:rPr>
    </w:tblStylePr>
    <w:tblStylePr w:type="firstCol">
      <w:rPr>
        <w:b/>
      </w:rPr>
    </w:tblStylePr>
    <w:tblStylePr w:type="lastCol">
      <w:rPr>
        <w:b/>
      </w:rPr>
    </w:tblStylePr>
    <w:tblStylePr w:type="band1Vert">
      <w:rPr>
        <w:sz w:val="22"/>
      </w:rPr>
      <w:tblPr/>
      <w:tcPr>
        <w:tcBorders>
          <w:left w:val="single" w:sz="4" w:space="0" w:color="E97132" w:themeColor="accent2"/>
          <w:right w:val="single" w:sz="4" w:space="0" w:color="E97132" w:themeColor="accent2"/>
        </w:tcBorders>
      </w:tcPr>
    </w:tblStylePr>
    <w:tblStylePr w:type="band1Horz">
      <w:rPr>
        <w:sz w:val="22"/>
      </w:rPr>
      <w:tblPr/>
      <w:tcPr>
        <w:tcBorders>
          <w:top w:val="single" w:sz="4" w:space="0" w:color="E97132" w:themeColor="accent2"/>
          <w:bottom w:val="single" w:sz="4" w:space="0" w:color="E97132" w:themeColor="accent2"/>
        </w:tcBorders>
      </w:tcPr>
    </w:tblStylePr>
  </w:style>
  <w:style w:type="table" w:styleId="ListTable3-Accent3">
    <w:name w:val="List Table 3 Accent 3"/>
    <w:basedOn w:val="TableNormal"/>
    <w:uiPriority w:val="99"/>
    <w:tblPr>
      <w:tblStyleRowBandSize w:val="1"/>
      <w:tblStyleColBandSize w:val="1"/>
      <w:tblBorders>
        <w:top w:val="single" w:sz="4" w:space="0" w:color="48D45B" w:themeColor="accent3" w:themeTint="98"/>
        <w:left w:val="single" w:sz="4" w:space="0" w:color="48D45B" w:themeColor="accent3" w:themeTint="98"/>
        <w:bottom w:val="single" w:sz="4" w:space="0" w:color="48D45B" w:themeColor="accent3" w:themeTint="98"/>
        <w:right w:val="single" w:sz="4" w:space="0" w:color="48D45B" w:themeColor="accent3" w:themeTint="98"/>
      </w:tblBorders>
    </w:tblPr>
    <w:tblStylePr w:type="firstRow">
      <w:rPr>
        <w:b/>
        <w:sz w:val="22"/>
      </w:rPr>
      <w:tblPr/>
      <w:tcPr>
        <w:shd w:val="clear" w:color="48D45B" w:fill="48D45B" w:themeFill="accent3" w:themeFillTint="98"/>
      </w:tcPr>
    </w:tblStylePr>
    <w:tblStylePr w:type="lastRow">
      <w:rPr>
        <w:b/>
      </w:rPr>
    </w:tblStylePr>
    <w:tblStylePr w:type="firstCol">
      <w:rPr>
        <w:b/>
      </w:rPr>
    </w:tblStylePr>
    <w:tblStylePr w:type="lastCol">
      <w:rPr>
        <w:b/>
      </w:rPr>
    </w:tblStylePr>
    <w:tblStylePr w:type="band1Vert">
      <w:rPr>
        <w:sz w:val="22"/>
      </w:rPr>
      <w:tblPr/>
      <w:tcPr>
        <w:tcBorders>
          <w:left w:val="single" w:sz="4" w:space="0" w:color="196B24" w:themeColor="accent3"/>
          <w:right w:val="single" w:sz="4" w:space="0" w:color="196B24" w:themeColor="accent3"/>
        </w:tcBorders>
      </w:tcPr>
    </w:tblStylePr>
    <w:tblStylePr w:type="band1Horz">
      <w:rPr>
        <w:sz w:val="22"/>
      </w:rPr>
      <w:tblPr/>
      <w:tcPr>
        <w:tcBorders>
          <w:top w:val="single" w:sz="4" w:space="0" w:color="196B24" w:themeColor="accent3"/>
          <w:bottom w:val="single" w:sz="4" w:space="0" w:color="196B24" w:themeColor="accent3"/>
        </w:tcBorders>
      </w:tcPr>
    </w:tblStylePr>
  </w:style>
  <w:style w:type="table" w:styleId="ListTable3-Accent4">
    <w:name w:val="List Table 3 Accent 4"/>
    <w:basedOn w:val="TableNormal"/>
    <w:uiPriority w:val="99"/>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blBorders>
    </w:tblPr>
    <w:tblStylePr w:type="firstRow">
      <w:rPr>
        <w:b/>
        <w:sz w:val="22"/>
      </w:rPr>
      <w:tblPr/>
      <w:tcPr>
        <w:shd w:val="clear" w:color="5FCAF3" w:fill="5FCAF3" w:themeFill="accent4" w:themeFillTint="9A"/>
      </w:tcPr>
    </w:tblStylePr>
    <w:tblStylePr w:type="lastRow">
      <w:rPr>
        <w:b/>
      </w:rPr>
    </w:tblStylePr>
    <w:tblStylePr w:type="firstCol">
      <w:rPr>
        <w:b/>
      </w:rPr>
    </w:tblStylePr>
    <w:tblStylePr w:type="lastCol">
      <w:rPr>
        <w:b/>
      </w:rPr>
    </w:tblStylePr>
    <w:tblStylePr w:type="band1Vert">
      <w:rPr>
        <w:sz w:val="22"/>
      </w:rPr>
      <w:tblPr/>
      <w:tcPr>
        <w:tcBorders>
          <w:left w:val="single" w:sz="4" w:space="0" w:color="0F9ED5" w:themeColor="accent4"/>
          <w:right w:val="single" w:sz="4" w:space="0" w:color="0F9ED5" w:themeColor="accent4"/>
        </w:tcBorders>
      </w:tcPr>
    </w:tblStylePr>
    <w:tblStylePr w:type="band1Horz">
      <w:rPr>
        <w:sz w:val="22"/>
      </w:rPr>
      <w:tblPr/>
      <w:tcPr>
        <w:tcBorders>
          <w:top w:val="single" w:sz="4" w:space="0" w:color="0F9ED5" w:themeColor="accent4"/>
          <w:bottom w:val="single" w:sz="4" w:space="0" w:color="0F9ED5" w:themeColor="accent4"/>
        </w:tcBorders>
      </w:tcPr>
    </w:tblStylePr>
  </w:style>
  <w:style w:type="table" w:styleId="ListTable3-Accent5">
    <w:name w:val="List Table 3 Accent 5"/>
    <w:basedOn w:val="TableNormal"/>
    <w:uiPriority w:val="99"/>
    <w:tblPr>
      <w:tblStyleRowBandSize w:val="1"/>
      <w:tblStyleColBandSize w:val="1"/>
      <w:tblBorders>
        <w:top w:val="single" w:sz="4" w:space="0" w:color="D76CCB" w:themeColor="accent5" w:themeTint="9A"/>
        <w:left w:val="single" w:sz="4" w:space="0" w:color="D76CCB" w:themeColor="accent5" w:themeTint="9A"/>
        <w:bottom w:val="single" w:sz="4" w:space="0" w:color="D76CCB" w:themeColor="accent5" w:themeTint="9A"/>
        <w:right w:val="single" w:sz="4" w:space="0" w:color="D76CCB" w:themeColor="accent5" w:themeTint="9A"/>
      </w:tblBorders>
    </w:tblPr>
    <w:tblStylePr w:type="firstRow">
      <w:rPr>
        <w:b/>
        <w:sz w:val="22"/>
      </w:rPr>
      <w:tblPr/>
      <w:tcPr>
        <w:shd w:val="clear" w:color="D76CCB" w:fill="D76CCB" w:themeFill="accent5" w:themeFillTint="9A"/>
      </w:tcPr>
    </w:tblStylePr>
    <w:tblStylePr w:type="lastRow">
      <w:rPr>
        <w:b/>
      </w:rPr>
    </w:tblStylePr>
    <w:tblStylePr w:type="firstCol">
      <w:rPr>
        <w:b/>
      </w:rPr>
    </w:tblStylePr>
    <w:tblStylePr w:type="lastCol">
      <w:rPr>
        <w:b/>
      </w:rPr>
    </w:tblStylePr>
    <w:tblStylePr w:type="band1Vert">
      <w:rPr>
        <w:sz w:val="22"/>
      </w:rPr>
      <w:tblPr/>
      <w:tcPr>
        <w:tcBorders>
          <w:left w:val="single" w:sz="4" w:space="0" w:color="A02B93" w:themeColor="accent5"/>
          <w:right w:val="single" w:sz="4" w:space="0" w:color="A02B93" w:themeColor="accent5"/>
        </w:tcBorders>
      </w:tcPr>
    </w:tblStylePr>
    <w:tblStylePr w:type="band1Horz">
      <w:rPr>
        <w:sz w:val="22"/>
      </w:rPr>
      <w:tblPr/>
      <w:tcPr>
        <w:tcBorders>
          <w:top w:val="single" w:sz="4" w:space="0" w:color="A02B93" w:themeColor="accent5"/>
          <w:bottom w:val="single" w:sz="4" w:space="0" w:color="A02B93" w:themeColor="accent5"/>
        </w:tcBorders>
      </w:tcPr>
    </w:tblStylePr>
  </w:style>
  <w:style w:type="table" w:styleId="ListTable3-Accent6">
    <w:name w:val="List Table 3 Accent 6"/>
    <w:basedOn w:val="TableNormal"/>
    <w:uiPriority w:val="99"/>
    <w:tblPr>
      <w:tblStyleRowBandSize w:val="1"/>
      <w:tblStyleColBandSize w:val="1"/>
      <w:tblBorders>
        <w:top w:val="single" w:sz="4" w:space="0" w:color="8ED873" w:themeColor="accent6" w:themeTint="98"/>
        <w:left w:val="single" w:sz="4" w:space="0" w:color="8ED873" w:themeColor="accent6" w:themeTint="98"/>
        <w:bottom w:val="single" w:sz="4" w:space="0" w:color="8ED873" w:themeColor="accent6" w:themeTint="98"/>
        <w:right w:val="single" w:sz="4" w:space="0" w:color="8ED873" w:themeColor="accent6" w:themeTint="98"/>
      </w:tblBorders>
    </w:tblPr>
    <w:tblStylePr w:type="firstRow">
      <w:rPr>
        <w:b/>
        <w:sz w:val="22"/>
      </w:rPr>
      <w:tblPr/>
      <w:tcPr>
        <w:shd w:val="clear" w:color="8ED873" w:fill="8ED873" w:themeFill="accent6" w:themeFillTint="98"/>
      </w:tcPr>
    </w:tblStylePr>
    <w:tblStylePr w:type="lastRow">
      <w:rPr>
        <w:b/>
      </w:rPr>
    </w:tblStylePr>
    <w:tblStylePr w:type="firstCol">
      <w:rPr>
        <w:b/>
      </w:rPr>
    </w:tblStylePr>
    <w:tblStylePr w:type="lastCol">
      <w:rPr>
        <w:b/>
      </w:rPr>
    </w:tblStylePr>
    <w:tblStylePr w:type="band1Vert">
      <w:rPr>
        <w:sz w:val="22"/>
      </w:rPr>
      <w:tblPr/>
      <w:tcPr>
        <w:tcBorders>
          <w:left w:val="single" w:sz="4" w:space="0" w:color="4EA72E" w:themeColor="accent6"/>
          <w:right w:val="single" w:sz="4" w:space="0" w:color="4EA72E" w:themeColor="accent6"/>
        </w:tcBorders>
      </w:tcPr>
    </w:tblStylePr>
    <w:tblStylePr w:type="band1Horz">
      <w:rPr>
        <w:sz w:val="22"/>
      </w:rPr>
      <w:tblPr/>
      <w:tcPr>
        <w:tcBorders>
          <w:top w:val="single" w:sz="4" w:space="0" w:color="4EA72E" w:themeColor="accent6"/>
          <w:bottom w:val="single" w:sz="4" w:space="0" w:color="4EA72E" w:themeColor="accent6"/>
        </w:tcBorders>
      </w:tcPr>
    </w:tblStylePr>
  </w:style>
  <w:style w:type="table" w:styleId="ListTable4">
    <w:name w:val="List Table 4"/>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b/>
        <w:sz w:val="22"/>
      </w:rPr>
      <w:tblPr/>
      <w:tcPr>
        <w:shd w:val="clear" w:color="000000" w:fill="000000" w:themeFill="text1"/>
      </w:tcPr>
    </w:tblStylePr>
    <w:tblStylePr w:type="lastRow">
      <w:rPr>
        <w:b/>
      </w:rPr>
    </w:tblStylePr>
    <w:tblStylePr w:type="firstCol">
      <w:rPr>
        <w:b/>
      </w:rPr>
    </w:tblStylePr>
    <w:tblStylePr w:type="lastCol">
      <w:rPr>
        <w:b/>
      </w:rPr>
    </w:tblStylePr>
    <w:tblStylePr w:type="band1Vert">
      <w:rPr>
        <w:sz w:val="22"/>
      </w:rPr>
      <w:tblPr/>
      <w:tcPr>
        <w:shd w:val="clear" w:color="BFBFBF" w:fill="BFBFBF" w:themeFill="text1" w:themeFillTint="40"/>
      </w:tcPr>
    </w:tblStylePr>
    <w:tblStylePr w:type="band1Horz">
      <w:rPr>
        <w:sz w:val="22"/>
      </w:rPr>
      <w:tblPr/>
      <w:tcPr>
        <w:shd w:val="clear" w:color="BFBFBF" w:fill="BFBFBF" w:themeFill="text1" w:themeFillTint="40"/>
      </w:tcPr>
    </w:tblStylePr>
  </w:style>
  <w:style w:type="table" w:styleId="ListTable4-Accent1">
    <w:name w:val="List Table 4 Accent 1"/>
    <w:basedOn w:val="TableNormal"/>
    <w:uiPriority w:val="99"/>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tblBorders>
    </w:tblPr>
    <w:tblStylePr w:type="firstRow">
      <w:rPr>
        <w:b/>
        <w:sz w:val="22"/>
      </w:rPr>
      <w:tblPr/>
      <w:tcPr>
        <w:shd w:val="clear" w:color="156082" w:fill="156082" w:themeFill="accent1"/>
      </w:tcPr>
    </w:tblStylePr>
    <w:tblStylePr w:type="lastRow">
      <w:rPr>
        <w:b/>
      </w:rPr>
    </w:tblStylePr>
    <w:tblStylePr w:type="firstCol">
      <w:rPr>
        <w:b/>
      </w:rPr>
    </w:tblStylePr>
    <w:tblStylePr w:type="lastCol">
      <w:rPr>
        <w:b/>
      </w:rPr>
    </w:tblStylePr>
    <w:tblStylePr w:type="band1Vert">
      <w:rPr>
        <w:sz w:val="22"/>
      </w:rPr>
      <w:tblPr/>
      <w:tcPr>
        <w:shd w:val="clear" w:color="B1DEF2" w:fill="B1DEF2" w:themeFill="accent1" w:themeFillTint="40"/>
      </w:tcPr>
    </w:tblStylePr>
    <w:tblStylePr w:type="band1Horz">
      <w:rPr>
        <w:sz w:val="22"/>
      </w:rPr>
      <w:tblPr/>
      <w:tcPr>
        <w:shd w:val="clear" w:color="B1DEF2" w:fill="B1DEF2" w:themeFill="accent1" w:themeFillTint="40"/>
      </w:tcPr>
    </w:tblStylePr>
  </w:style>
  <w:style w:type="table" w:styleId="ListTable4-Accent2">
    <w:name w:val="List Table 4 Accent 2"/>
    <w:basedOn w:val="TableNormal"/>
    <w:uiPriority w:val="99"/>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tblBorders>
    </w:tblPr>
    <w:tblStylePr w:type="firstRow">
      <w:rPr>
        <w:b/>
        <w:sz w:val="22"/>
      </w:rPr>
      <w:tblPr/>
      <w:tcPr>
        <w:shd w:val="clear" w:color="E97132" w:fill="E97132" w:themeFill="accent2"/>
      </w:tcPr>
    </w:tblStylePr>
    <w:tblStylePr w:type="lastRow">
      <w:rPr>
        <w:b/>
      </w:rPr>
    </w:tblStylePr>
    <w:tblStylePr w:type="firstCol">
      <w:rPr>
        <w:b/>
      </w:rPr>
    </w:tblStylePr>
    <w:tblStylePr w:type="lastCol">
      <w:rPr>
        <w:b/>
      </w:rPr>
    </w:tblStylePr>
    <w:tblStylePr w:type="band1Vert">
      <w:rPr>
        <w:sz w:val="22"/>
      </w:rPr>
      <w:tblPr/>
      <w:tcPr>
        <w:shd w:val="clear" w:color="F9DBCB" w:fill="F9DBCB" w:themeFill="accent2" w:themeFillTint="40"/>
      </w:tcPr>
    </w:tblStylePr>
    <w:tblStylePr w:type="band1Horz">
      <w:rPr>
        <w:sz w:val="22"/>
      </w:rPr>
      <w:tblPr/>
      <w:tcPr>
        <w:shd w:val="clear" w:color="F9DBCB" w:fill="F9DBCB" w:themeFill="accent2" w:themeFillTint="40"/>
      </w:tcPr>
    </w:tblStylePr>
  </w:style>
  <w:style w:type="table" w:styleId="ListTable4-Accent3">
    <w:name w:val="List Table 4 Accent 3"/>
    <w:basedOn w:val="TableNormal"/>
    <w:uiPriority w:val="99"/>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tblBorders>
    </w:tblPr>
    <w:tblStylePr w:type="firstRow">
      <w:rPr>
        <w:b/>
        <w:sz w:val="22"/>
      </w:rPr>
      <w:tblPr/>
      <w:tcPr>
        <w:shd w:val="clear" w:color="196B24" w:fill="196B24" w:themeFill="accent3"/>
      </w:tcPr>
    </w:tblStylePr>
    <w:tblStylePr w:type="lastRow">
      <w:rPr>
        <w:b/>
      </w:rPr>
    </w:tblStylePr>
    <w:tblStylePr w:type="firstCol">
      <w:rPr>
        <w:b/>
      </w:rPr>
    </w:tblStylePr>
    <w:tblStylePr w:type="lastCol">
      <w:rPr>
        <w:b/>
      </w:rPr>
    </w:tblStylePr>
    <w:tblStylePr w:type="band1Vert">
      <w:rPr>
        <w:sz w:val="22"/>
      </w:rPr>
      <w:tblPr/>
      <w:tcPr>
        <w:shd w:val="clear" w:color="B2EDB9" w:fill="B2EDB9" w:themeFill="accent3" w:themeFillTint="40"/>
      </w:tcPr>
    </w:tblStylePr>
    <w:tblStylePr w:type="band1Horz">
      <w:rPr>
        <w:sz w:val="22"/>
      </w:rPr>
      <w:tblPr/>
      <w:tcPr>
        <w:shd w:val="clear" w:color="B2EDB9" w:fill="B2EDB9" w:themeFill="accent3" w:themeFillTint="40"/>
      </w:tcPr>
    </w:tblStylePr>
  </w:style>
  <w:style w:type="table" w:styleId="ListTable4-Accent4">
    <w:name w:val="List Table 4 Accent 4"/>
    <w:basedOn w:val="TableNormal"/>
    <w:uiPriority w:val="99"/>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tblBorders>
    </w:tblPr>
    <w:tblStylePr w:type="firstRow">
      <w:rPr>
        <w:b/>
        <w:sz w:val="22"/>
      </w:rPr>
      <w:tblPr/>
      <w:tcPr>
        <w:shd w:val="clear" w:color="0F9ED5" w:fill="0F9ED5" w:themeFill="accent4"/>
      </w:tcPr>
    </w:tblStylePr>
    <w:tblStylePr w:type="lastRow">
      <w:rPr>
        <w:b/>
      </w:rPr>
    </w:tblStylePr>
    <w:tblStylePr w:type="firstCol">
      <w:rPr>
        <w:b/>
      </w:rPr>
    </w:tblStylePr>
    <w:tblStylePr w:type="lastCol">
      <w:rPr>
        <w:b/>
      </w:rPr>
    </w:tblStylePr>
    <w:tblStylePr w:type="band1Vert">
      <w:rPr>
        <w:sz w:val="22"/>
      </w:rPr>
      <w:tblPr/>
      <w:tcPr>
        <w:shd w:val="clear" w:color="BCE9FA" w:fill="BCE9FA" w:themeFill="accent4" w:themeFillTint="40"/>
      </w:tcPr>
    </w:tblStylePr>
    <w:tblStylePr w:type="band1Horz">
      <w:rPr>
        <w:sz w:val="22"/>
      </w:rPr>
      <w:tblPr/>
      <w:tcPr>
        <w:shd w:val="clear" w:color="BCE9FA" w:fill="BCE9FA" w:themeFill="accent4" w:themeFillTint="40"/>
      </w:tcPr>
    </w:tblStylePr>
  </w:style>
  <w:style w:type="table" w:styleId="ListTable4-Accent5">
    <w:name w:val="List Table 4 Accent 5"/>
    <w:basedOn w:val="TableNormal"/>
    <w:uiPriority w:val="99"/>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tblBorders>
    </w:tblPr>
    <w:tblStylePr w:type="firstRow">
      <w:rPr>
        <w:b/>
        <w:sz w:val="22"/>
      </w:rPr>
      <w:tblPr/>
      <w:tcPr>
        <w:shd w:val="clear" w:color="A02B93" w:fill="A02B93" w:themeFill="accent5"/>
      </w:tcPr>
    </w:tblStylePr>
    <w:tblStylePr w:type="lastRow">
      <w:rPr>
        <w:b/>
      </w:rPr>
    </w:tblStylePr>
    <w:tblStylePr w:type="firstCol">
      <w:rPr>
        <w:b/>
      </w:rPr>
    </w:tblStylePr>
    <w:tblStylePr w:type="lastCol">
      <w:rPr>
        <w:b/>
      </w:rPr>
    </w:tblStylePr>
    <w:tblStylePr w:type="band1Vert">
      <w:rPr>
        <w:sz w:val="22"/>
      </w:rPr>
      <w:tblPr/>
      <w:tcPr>
        <w:shd w:val="clear" w:color="EEC2E9" w:fill="EEC2E9" w:themeFill="accent5" w:themeFillTint="40"/>
      </w:tcPr>
    </w:tblStylePr>
    <w:tblStylePr w:type="band1Horz">
      <w:rPr>
        <w:sz w:val="22"/>
      </w:rPr>
      <w:tblPr/>
      <w:tcPr>
        <w:shd w:val="clear" w:color="EEC2E9" w:fill="EEC2E9" w:themeFill="accent5" w:themeFillTint="40"/>
      </w:tcPr>
    </w:tblStylePr>
  </w:style>
  <w:style w:type="table" w:styleId="ListTable4-Accent6">
    <w:name w:val="List Table 4 Accent 6"/>
    <w:basedOn w:val="TableNormal"/>
    <w:uiPriority w:val="99"/>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tblBorders>
    </w:tblPr>
    <w:tblStylePr w:type="firstRow">
      <w:rPr>
        <w:b/>
        <w:sz w:val="22"/>
      </w:rPr>
      <w:tblPr/>
      <w:tcPr>
        <w:shd w:val="clear" w:color="4EA72E" w:fill="4EA72E" w:themeFill="accent6"/>
      </w:tcPr>
    </w:tblStylePr>
    <w:tblStylePr w:type="lastRow">
      <w:rPr>
        <w:b/>
      </w:rPr>
    </w:tblStylePr>
    <w:tblStylePr w:type="firstCol">
      <w:rPr>
        <w:b/>
      </w:rPr>
    </w:tblStylePr>
    <w:tblStylePr w:type="lastCol">
      <w:rPr>
        <w:b/>
      </w:rPr>
    </w:tblStylePr>
    <w:tblStylePr w:type="band1Vert">
      <w:rPr>
        <w:sz w:val="22"/>
      </w:rPr>
      <w:tblPr/>
      <w:tcPr>
        <w:shd w:val="clear" w:color="CFEFC4" w:fill="CFEFC4" w:themeFill="accent6" w:themeFillTint="40"/>
      </w:tcPr>
    </w:tblStylePr>
    <w:tblStylePr w:type="band1Horz">
      <w:rPr>
        <w:sz w:val="22"/>
      </w:rPr>
      <w:tblPr/>
      <w:tcPr>
        <w:shd w:val="clear" w:color="CFEFC4" w:fill="CFEFC4" w:themeFill="accent6" w:themeFillTint="40"/>
      </w:tcPr>
    </w:tblStylePr>
  </w:style>
  <w:style w:type="table" w:styleId="ListTable5Dark">
    <w:name w:val="List Table 5 Dark"/>
    <w:basedOn w:val="Table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tblPr>
    <w:tblStylePr w:type="firstRow">
      <w:rPr>
        <w:b/>
        <w:color w:val="FFFFFF" w:themeColor="light1"/>
        <w:sz w:val="22"/>
      </w:rPr>
      <w:tblPr/>
      <w:tcPr>
        <w:tcBorders>
          <w:top w:val="single" w:sz="32" w:space="0" w:color="000000" w:themeColor="text1"/>
          <w:bottom w:val="single" w:sz="12" w:space="0" w:color="FFFFFF" w:themeColor="light1"/>
        </w:tcBorders>
        <w:shd w:val="clear" w:color="7F7F7F" w:fill="7F7F7F" w:themeFill="text1" w:themeFillTint="80"/>
      </w:tcPr>
    </w:tblStylePr>
    <w:tblStylePr w:type="lastRow">
      <w:rPr>
        <w:b/>
        <w:color w:val="FFFFFF" w:themeColor="light1"/>
        <w:sz w:val="22"/>
      </w:rPr>
    </w:tblStylePr>
    <w:tblStylePr w:type="firstCol">
      <w:rPr>
        <w:b/>
        <w:color w:val="FFFFFF" w:themeColor="light1"/>
        <w:sz w:val="22"/>
      </w:rPr>
      <w:tblPr/>
      <w:tcPr>
        <w:tcBorders>
          <w:left w:val="single" w:sz="32" w:space="0" w:color="000000" w:themeColor="text1"/>
          <w:right w:val="single" w:sz="4" w:space="0" w:color="FFFFFF" w:themeColor="light1"/>
        </w:tcBorders>
      </w:tcPr>
    </w:tblStylePr>
    <w:tblStylePr w:type="lastCol">
      <w:tblPr/>
      <w:tcPr>
        <w:tcBorders>
          <w:left w:val="single" w:sz="4" w:space="0" w:color="FFFFFF" w:themeColor="light1"/>
          <w:right w:val="single" w:sz="32" w:space="0" w:color="000000" w:themeColor="text1"/>
        </w:tcBorders>
      </w:tcPr>
    </w:tblStylePr>
    <w:tblStylePr w:type="band1Vert">
      <w:tblPr/>
      <w:tcPr>
        <w:tcBorders>
          <w:left w:val="single" w:sz="4" w:space="0" w:color="FFFFFF" w:themeColor="light1"/>
          <w:right w:val="single" w:sz="4" w:space="0" w:color="FFFFFF" w:themeColor="light1"/>
        </w:tcBorders>
        <w:shd w:val="clear" w:color="7F7F7F"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fill="7F7F7F" w:themeFill="text1" w:themeFillTint="80"/>
      </w:tcPr>
    </w:tblStylePr>
    <w:tblStylePr w:type="band2Horz">
      <w:tblPr/>
      <w:tcPr>
        <w:tcBorders>
          <w:top w:val="single" w:sz="4" w:space="0" w:color="FFFFFF" w:themeColor="light1"/>
          <w:bottom w:val="single" w:sz="4" w:space="0" w:color="FFFFFF" w:themeColor="light1"/>
        </w:tcBorders>
        <w:shd w:val="clear" w:color="7F7F7F" w:fill="7F7F7F" w:themeFill="text1" w:themeFillTint="80"/>
      </w:tcPr>
    </w:tblStylePr>
  </w:style>
  <w:style w:type="table" w:styleId="ListTable5Dark-Accent1">
    <w:name w:val="List Table 5 Dark Accent 1"/>
    <w:basedOn w:val="TableNormal"/>
    <w:uiPriority w:val="99"/>
    <w:tblPr>
      <w:tblStyleRowBandSize w:val="1"/>
      <w:tblStyleColBandSize w:val="1"/>
      <w:tblBorders>
        <w:top w:val="single" w:sz="32" w:space="0" w:color="156082" w:themeColor="accent1"/>
        <w:left w:val="single" w:sz="32" w:space="0" w:color="156082" w:themeColor="accent1"/>
        <w:bottom w:val="single" w:sz="32" w:space="0" w:color="156082" w:themeColor="accent1"/>
        <w:right w:val="single" w:sz="32" w:space="0" w:color="156082" w:themeColor="accent1"/>
      </w:tblBorders>
    </w:tblPr>
    <w:tblStylePr w:type="firstRow">
      <w:rPr>
        <w:b/>
        <w:color w:val="FFFFFF" w:themeColor="light1"/>
        <w:sz w:val="22"/>
      </w:rPr>
      <w:tblPr/>
      <w:tcPr>
        <w:tcBorders>
          <w:top w:val="single" w:sz="32" w:space="0" w:color="156082" w:themeColor="accent1"/>
          <w:bottom w:val="single" w:sz="12" w:space="0" w:color="FFFFFF" w:themeColor="light1"/>
        </w:tcBorders>
        <w:shd w:val="clear" w:color="156082" w:fill="156082" w:themeFill="accent1"/>
      </w:tcPr>
    </w:tblStylePr>
    <w:tblStylePr w:type="lastRow">
      <w:rPr>
        <w:b/>
        <w:color w:val="FFFFFF" w:themeColor="light1"/>
        <w:sz w:val="22"/>
      </w:rPr>
    </w:tblStylePr>
    <w:tblStylePr w:type="firstCol">
      <w:rPr>
        <w:b/>
        <w:color w:val="FFFFFF" w:themeColor="light1"/>
        <w:sz w:val="22"/>
      </w:rPr>
      <w:tblPr/>
      <w:tcPr>
        <w:tcBorders>
          <w:left w:val="single" w:sz="32" w:space="0" w:color="156082" w:themeColor="accent1"/>
          <w:right w:val="single" w:sz="4" w:space="0" w:color="FFFFFF" w:themeColor="light1"/>
        </w:tcBorders>
      </w:tcPr>
    </w:tblStylePr>
    <w:tblStylePr w:type="lastCol">
      <w:tblPr/>
      <w:tcPr>
        <w:tcBorders>
          <w:left w:val="single" w:sz="4" w:space="0" w:color="FFFFFF" w:themeColor="light1"/>
          <w:right w:val="single" w:sz="32" w:space="0" w:color="156082" w:themeColor="accent1"/>
        </w:tcBorders>
      </w:tcPr>
    </w:tblStylePr>
    <w:tblStylePr w:type="band1Vert">
      <w:tblPr/>
      <w:tcPr>
        <w:tcBorders>
          <w:left w:val="single" w:sz="4" w:space="0" w:color="FFFFFF" w:themeColor="light1"/>
          <w:right w:val="single" w:sz="4" w:space="0" w:color="FFFFFF" w:themeColor="light1"/>
        </w:tcBorders>
        <w:shd w:val="clear" w:color="156082" w:fill="156082"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156082" w:fill="156082" w:themeFill="accent1"/>
      </w:tcPr>
    </w:tblStylePr>
    <w:tblStylePr w:type="band2Horz">
      <w:tblPr/>
      <w:tcPr>
        <w:tcBorders>
          <w:top w:val="single" w:sz="4" w:space="0" w:color="FFFFFF" w:themeColor="light1"/>
          <w:bottom w:val="single" w:sz="4" w:space="0" w:color="FFFFFF" w:themeColor="light1"/>
        </w:tcBorders>
        <w:shd w:val="clear" w:color="156082" w:fill="156082" w:themeFill="accent1"/>
      </w:tcPr>
    </w:tblStylePr>
  </w:style>
  <w:style w:type="table" w:styleId="ListTable5Dark-Accent2">
    <w:name w:val="List Table 5 Dark Accent 2"/>
    <w:basedOn w:val="TableNormal"/>
    <w:uiPriority w:val="99"/>
    <w:tblPr>
      <w:tblStyleRowBandSize w:val="1"/>
      <w:tblStyleColBandSize w:val="1"/>
      <w:tblBorders>
        <w:top w:val="single" w:sz="32" w:space="0" w:color="F2AA85" w:themeColor="accent2" w:themeTint="97"/>
        <w:left w:val="single" w:sz="32" w:space="0" w:color="F2AA85" w:themeColor="accent2" w:themeTint="97"/>
        <w:bottom w:val="single" w:sz="32" w:space="0" w:color="F2AA85" w:themeColor="accent2" w:themeTint="97"/>
        <w:right w:val="single" w:sz="32" w:space="0" w:color="F2AA85" w:themeColor="accent2" w:themeTint="97"/>
      </w:tblBorders>
    </w:tblPr>
    <w:tblStylePr w:type="firstRow">
      <w:rPr>
        <w:b/>
        <w:color w:val="FFFFFF" w:themeColor="light1"/>
        <w:sz w:val="22"/>
      </w:rPr>
      <w:tblPr/>
      <w:tcPr>
        <w:tcBorders>
          <w:top w:val="single" w:sz="32" w:space="0" w:color="E97132" w:themeColor="accent2"/>
          <w:bottom w:val="single" w:sz="12" w:space="0" w:color="FFFFFF" w:themeColor="light1"/>
        </w:tcBorders>
        <w:shd w:val="clear" w:color="F2AA85" w:fill="F2AA85" w:themeFill="accent2" w:themeFillTint="97"/>
      </w:tcPr>
    </w:tblStylePr>
    <w:tblStylePr w:type="lastRow">
      <w:rPr>
        <w:b/>
        <w:color w:val="FFFFFF" w:themeColor="light1"/>
        <w:sz w:val="22"/>
      </w:rPr>
    </w:tblStylePr>
    <w:tblStylePr w:type="firstCol">
      <w:rPr>
        <w:b/>
        <w:color w:val="FFFFFF" w:themeColor="light1"/>
        <w:sz w:val="22"/>
      </w:rPr>
      <w:tblPr/>
      <w:tcPr>
        <w:tcBorders>
          <w:left w:val="single" w:sz="32" w:space="0" w:color="E97132" w:themeColor="accent2"/>
          <w:right w:val="single" w:sz="4" w:space="0" w:color="FFFFFF" w:themeColor="light1"/>
        </w:tcBorders>
      </w:tcPr>
    </w:tblStylePr>
    <w:tblStylePr w:type="lastCol">
      <w:tblPr/>
      <w:tcPr>
        <w:tcBorders>
          <w:left w:val="single" w:sz="4" w:space="0" w:color="FFFFFF" w:themeColor="light1"/>
          <w:right w:val="single" w:sz="32" w:space="0" w:color="E97132" w:themeColor="accent2"/>
        </w:tcBorders>
      </w:tcPr>
    </w:tblStylePr>
    <w:tblStylePr w:type="band1Vert">
      <w:tblPr/>
      <w:tcPr>
        <w:tcBorders>
          <w:left w:val="single" w:sz="4" w:space="0" w:color="FFFFFF" w:themeColor="light1"/>
          <w:right w:val="single" w:sz="4" w:space="0" w:color="FFFFFF" w:themeColor="light1"/>
        </w:tcBorders>
        <w:shd w:val="clear" w:color="F2AA85" w:fill="F2AA8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2AA85" w:fill="F2AA85" w:themeFill="accent2" w:themeFillTint="97"/>
      </w:tcPr>
    </w:tblStylePr>
    <w:tblStylePr w:type="band2Horz">
      <w:tblPr/>
      <w:tcPr>
        <w:tcBorders>
          <w:top w:val="single" w:sz="4" w:space="0" w:color="FFFFFF" w:themeColor="light1"/>
          <w:bottom w:val="single" w:sz="4" w:space="0" w:color="FFFFFF" w:themeColor="light1"/>
        </w:tcBorders>
        <w:shd w:val="clear" w:color="F2AA85" w:fill="F2AA85" w:themeFill="accent2" w:themeFillTint="97"/>
      </w:tcPr>
    </w:tblStylePr>
  </w:style>
  <w:style w:type="table" w:styleId="ListTable5Dark-Accent3">
    <w:name w:val="List Table 5 Dark Accent 3"/>
    <w:basedOn w:val="TableNormal"/>
    <w:uiPriority w:val="99"/>
    <w:tblPr>
      <w:tblStyleRowBandSize w:val="1"/>
      <w:tblStyleColBandSize w:val="1"/>
      <w:tblBorders>
        <w:top w:val="single" w:sz="32" w:space="0" w:color="48D45B" w:themeColor="accent3" w:themeTint="98"/>
        <w:left w:val="single" w:sz="32" w:space="0" w:color="48D45B" w:themeColor="accent3" w:themeTint="98"/>
        <w:bottom w:val="single" w:sz="32" w:space="0" w:color="48D45B" w:themeColor="accent3" w:themeTint="98"/>
        <w:right w:val="single" w:sz="32" w:space="0" w:color="48D45B" w:themeColor="accent3" w:themeTint="98"/>
      </w:tblBorders>
    </w:tblPr>
    <w:tblStylePr w:type="firstRow">
      <w:rPr>
        <w:b/>
        <w:color w:val="FFFFFF" w:themeColor="light1"/>
        <w:sz w:val="22"/>
      </w:rPr>
      <w:tblPr/>
      <w:tcPr>
        <w:tcBorders>
          <w:top w:val="single" w:sz="32" w:space="0" w:color="196B24" w:themeColor="accent3"/>
          <w:bottom w:val="single" w:sz="12" w:space="0" w:color="FFFFFF" w:themeColor="light1"/>
        </w:tcBorders>
        <w:shd w:val="clear" w:color="48D45B" w:fill="48D45B" w:themeFill="accent3"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196B24" w:themeColor="accent3"/>
          <w:right w:val="single" w:sz="4" w:space="0" w:color="FFFFFF" w:themeColor="light1"/>
        </w:tcBorders>
      </w:tcPr>
    </w:tblStylePr>
    <w:tblStylePr w:type="lastCol">
      <w:tblPr/>
      <w:tcPr>
        <w:tcBorders>
          <w:left w:val="single" w:sz="4" w:space="0" w:color="FFFFFF" w:themeColor="light1"/>
          <w:right w:val="single" w:sz="32" w:space="0" w:color="196B24" w:themeColor="accent3"/>
        </w:tcBorders>
      </w:tcPr>
    </w:tblStylePr>
    <w:tblStylePr w:type="band1Vert">
      <w:tblPr/>
      <w:tcPr>
        <w:tcBorders>
          <w:left w:val="single" w:sz="4" w:space="0" w:color="FFFFFF" w:themeColor="light1"/>
          <w:right w:val="single" w:sz="4" w:space="0" w:color="FFFFFF" w:themeColor="light1"/>
        </w:tcBorders>
        <w:shd w:val="clear" w:color="48D45B" w:fill="48D45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8D45B" w:fill="48D45B" w:themeFill="accent3" w:themeFillTint="98"/>
      </w:tcPr>
    </w:tblStylePr>
    <w:tblStylePr w:type="band2Horz">
      <w:tblPr/>
      <w:tcPr>
        <w:tcBorders>
          <w:top w:val="single" w:sz="4" w:space="0" w:color="FFFFFF" w:themeColor="light1"/>
          <w:bottom w:val="single" w:sz="4" w:space="0" w:color="FFFFFF" w:themeColor="light1"/>
        </w:tcBorders>
        <w:shd w:val="clear" w:color="48D45B" w:fill="48D45B" w:themeFill="accent3" w:themeFillTint="98"/>
      </w:tcPr>
    </w:tblStylePr>
  </w:style>
  <w:style w:type="table" w:styleId="ListTable5Dark-Accent4">
    <w:name w:val="List Table 5 Dark Accent 4"/>
    <w:basedOn w:val="TableNormal"/>
    <w:uiPriority w:val="99"/>
    <w:tblPr>
      <w:tblStyleRowBandSize w:val="1"/>
      <w:tblStyleColBandSize w:val="1"/>
      <w:tblBorders>
        <w:top w:val="single" w:sz="32" w:space="0" w:color="5FCAF3" w:themeColor="accent4" w:themeTint="9A"/>
        <w:left w:val="single" w:sz="32" w:space="0" w:color="5FCAF3" w:themeColor="accent4" w:themeTint="9A"/>
        <w:bottom w:val="single" w:sz="32" w:space="0" w:color="5FCAF3" w:themeColor="accent4" w:themeTint="9A"/>
        <w:right w:val="single" w:sz="32" w:space="0" w:color="5FCAF3" w:themeColor="accent4" w:themeTint="9A"/>
      </w:tblBorders>
    </w:tblPr>
    <w:tblStylePr w:type="firstRow">
      <w:rPr>
        <w:b/>
        <w:color w:val="FFFFFF" w:themeColor="light1"/>
        <w:sz w:val="22"/>
      </w:rPr>
      <w:tblPr/>
      <w:tcPr>
        <w:tcBorders>
          <w:top w:val="single" w:sz="32" w:space="0" w:color="0F9ED5" w:themeColor="accent4"/>
          <w:bottom w:val="single" w:sz="12" w:space="0" w:color="FFFFFF" w:themeColor="light1"/>
        </w:tcBorders>
        <w:shd w:val="clear" w:color="5FCAF3" w:fill="5FCAF3" w:themeFill="accent4"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0F9ED5" w:themeColor="accent4"/>
          <w:right w:val="single" w:sz="4" w:space="0" w:color="FFFFFF" w:themeColor="light1"/>
        </w:tcBorders>
      </w:tcPr>
    </w:tblStylePr>
    <w:tblStylePr w:type="lastCol">
      <w:tblPr/>
      <w:tcPr>
        <w:tcBorders>
          <w:left w:val="single" w:sz="4" w:space="0" w:color="FFFFFF" w:themeColor="light1"/>
          <w:right w:val="single" w:sz="32" w:space="0" w:color="0F9ED5" w:themeColor="accent4"/>
        </w:tcBorders>
      </w:tcPr>
    </w:tblStylePr>
    <w:tblStylePr w:type="band1Vert">
      <w:tblPr/>
      <w:tcPr>
        <w:tcBorders>
          <w:left w:val="single" w:sz="4" w:space="0" w:color="FFFFFF" w:themeColor="light1"/>
          <w:right w:val="single" w:sz="4" w:space="0" w:color="FFFFFF" w:themeColor="light1"/>
        </w:tcBorders>
        <w:shd w:val="clear" w:color="5FCAF3" w:fill="5FCAF3"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FCAF3" w:fill="5FCAF3" w:themeFill="accent4" w:themeFillTint="9A"/>
      </w:tcPr>
    </w:tblStylePr>
    <w:tblStylePr w:type="band2Horz">
      <w:tblPr/>
      <w:tcPr>
        <w:tcBorders>
          <w:top w:val="single" w:sz="4" w:space="0" w:color="FFFFFF" w:themeColor="light1"/>
          <w:bottom w:val="single" w:sz="4" w:space="0" w:color="FFFFFF" w:themeColor="light1"/>
        </w:tcBorders>
        <w:shd w:val="clear" w:color="5FCAF3" w:fill="5FCAF3" w:themeFill="accent4" w:themeFillTint="9A"/>
      </w:tcPr>
    </w:tblStylePr>
  </w:style>
  <w:style w:type="table" w:styleId="ListTable5Dark-Accent5">
    <w:name w:val="List Table 5 Dark Accent 5"/>
    <w:basedOn w:val="TableNormal"/>
    <w:uiPriority w:val="99"/>
    <w:tblPr>
      <w:tblStyleRowBandSize w:val="1"/>
      <w:tblStyleColBandSize w:val="1"/>
      <w:tblBorders>
        <w:top w:val="single" w:sz="32" w:space="0" w:color="D76CCB" w:themeColor="accent5" w:themeTint="9A"/>
        <w:left w:val="single" w:sz="32" w:space="0" w:color="D76CCB" w:themeColor="accent5" w:themeTint="9A"/>
        <w:bottom w:val="single" w:sz="32" w:space="0" w:color="D76CCB" w:themeColor="accent5" w:themeTint="9A"/>
        <w:right w:val="single" w:sz="32" w:space="0" w:color="D76CCB" w:themeColor="accent5" w:themeTint="9A"/>
      </w:tblBorders>
    </w:tblPr>
    <w:tblStylePr w:type="firstRow">
      <w:rPr>
        <w:b/>
        <w:color w:val="FFFFFF" w:themeColor="light1"/>
        <w:sz w:val="22"/>
      </w:rPr>
      <w:tblPr/>
      <w:tcPr>
        <w:tcBorders>
          <w:top w:val="single" w:sz="32" w:space="0" w:color="A02B93" w:themeColor="accent5"/>
          <w:bottom w:val="single" w:sz="12" w:space="0" w:color="FFFFFF" w:themeColor="light1"/>
        </w:tcBorders>
        <w:shd w:val="clear" w:color="D76CCB" w:fill="D76CCB" w:themeFill="accent5"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A02B93" w:themeColor="accent5"/>
          <w:right w:val="single" w:sz="4" w:space="0" w:color="FFFFFF" w:themeColor="light1"/>
        </w:tcBorders>
      </w:tcPr>
    </w:tblStylePr>
    <w:tblStylePr w:type="lastCol">
      <w:tblPr/>
      <w:tcPr>
        <w:tcBorders>
          <w:left w:val="single" w:sz="4" w:space="0" w:color="FFFFFF" w:themeColor="light1"/>
          <w:right w:val="single" w:sz="32" w:space="0" w:color="A02B93" w:themeColor="accent5"/>
        </w:tcBorders>
      </w:tcPr>
    </w:tblStylePr>
    <w:tblStylePr w:type="band1Vert">
      <w:tblPr/>
      <w:tcPr>
        <w:tcBorders>
          <w:left w:val="single" w:sz="4" w:space="0" w:color="FFFFFF" w:themeColor="light1"/>
          <w:right w:val="single" w:sz="4" w:space="0" w:color="FFFFFF" w:themeColor="light1"/>
        </w:tcBorders>
        <w:shd w:val="clear" w:color="D76CCB" w:fill="D76CC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76CCB" w:fill="D76CCB" w:themeFill="accent5" w:themeFillTint="9A"/>
      </w:tcPr>
    </w:tblStylePr>
    <w:tblStylePr w:type="band2Horz">
      <w:tblPr/>
      <w:tcPr>
        <w:tcBorders>
          <w:top w:val="single" w:sz="4" w:space="0" w:color="FFFFFF" w:themeColor="light1"/>
          <w:bottom w:val="single" w:sz="4" w:space="0" w:color="FFFFFF" w:themeColor="light1"/>
        </w:tcBorders>
        <w:shd w:val="clear" w:color="D76CCB" w:fill="D76CCB" w:themeFill="accent5" w:themeFillTint="9A"/>
      </w:tcPr>
    </w:tblStylePr>
  </w:style>
  <w:style w:type="table" w:styleId="ListTable5Dark-Accent6">
    <w:name w:val="List Table 5 Dark Accent 6"/>
    <w:basedOn w:val="TableNormal"/>
    <w:uiPriority w:val="99"/>
    <w:tblPr>
      <w:tblStyleRowBandSize w:val="1"/>
      <w:tblStyleColBandSize w:val="1"/>
      <w:tblBorders>
        <w:top w:val="single" w:sz="32" w:space="0" w:color="8ED873" w:themeColor="accent6" w:themeTint="98"/>
        <w:left w:val="single" w:sz="32" w:space="0" w:color="8ED873" w:themeColor="accent6" w:themeTint="98"/>
        <w:bottom w:val="single" w:sz="32" w:space="0" w:color="8ED873" w:themeColor="accent6" w:themeTint="98"/>
        <w:right w:val="single" w:sz="32" w:space="0" w:color="8ED873" w:themeColor="accent6" w:themeTint="98"/>
      </w:tblBorders>
    </w:tblPr>
    <w:tblStylePr w:type="firstRow">
      <w:rPr>
        <w:b/>
        <w:color w:val="FFFFFF" w:themeColor="light1"/>
        <w:sz w:val="22"/>
      </w:rPr>
      <w:tblPr/>
      <w:tcPr>
        <w:tcBorders>
          <w:top w:val="single" w:sz="32" w:space="0" w:color="4EA72E" w:themeColor="accent6"/>
          <w:bottom w:val="single" w:sz="12" w:space="0" w:color="FFFFFF" w:themeColor="light1"/>
        </w:tcBorders>
        <w:shd w:val="clear" w:color="8ED873" w:fill="8ED873" w:themeFill="accent6"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4EA72E" w:themeColor="accent6"/>
          <w:right w:val="single" w:sz="4" w:space="0" w:color="FFFFFF" w:themeColor="light1"/>
        </w:tcBorders>
      </w:tcPr>
    </w:tblStylePr>
    <w:tblStylePr w:type="lastCol">
      <w:tblPr/>
      <w:tcPr>
        <w:tcBorders>
          <w:left w:val="single" w:sz="4" w:space="0" w:color="FFFFFF" w:themeColor="light1"/>
          <w:right w:val="single" w:sz="32" w:space="0" w:color="4EA72E" w:themeColor="accent6"/>
        </w:tcBorders>
      </w:tcPr>
    </w:tblStylePr>
    <w:tblStylePr w:type="band1Vert">
      <w:tblPr/>
      <w:tcPr>
        <w:tcBorders>
          <w:left w:val="single" w:sz="4" w:space="0" w:color="FFFFFF" w:themeColor="light1"/>
          <w:right w:val="single" w:sz="4" w:space="0" w:color="FFFFFF" w:themeColor="light1"/>
        </w:tcBorders>
        <w:shd w:val="clear" w:color="8ED873" w:fill="8ED873"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ED873" w:fill="8ED873" w:themeFill="accent6" w:themeFillTint="98"/>
      </w:tcPr>
    </w:tblStylePr>
    <w:tblStylePr w:type="band2Horz">
      <w:tblPr/>
      <w:tcPr>
        <w:tcBorders>
          <w:top w:val="single" w:sz="4" w:space="0" w:color="FFFFFF" w:themeColor="light1"/>
          <w:bottom w:val="single" w:sz="4" w:space="0" w:color="FFFFFF" w:themeColor="light1"/>
        </w:tcBorders>
        <w:shd w:val="clear" w:color="8ED873" w:fill="8ED873" w:themeFill="accent6" w:themeFillTint="98"/>
      </w:tcPr>
    </w:tblStylePr>
  </w:style>
  <w:style w:type="table" w:styleId="ListTable6Colorful">
    <w:name w:val="List Table 6 Colorful"/>
    <w:basedOn w:val="Table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000000" w:themeColor="text1"/>
        </w:tcBorders>
      </w:tcPr>
    </w:tblStylePr>
    <w:tblStylePr w:type="lastRow">
      <w:rPr>
        <w:b/>
        <w:color w:val="000000" w:themeColor="text1"/>
      </w:rPr>
      <w:tblPr/>
      <w:tcPr>
        <w:tcBorders>
          <w:top w:val="single" w:sz="4" w:space="0" w:color="000000" w:themeColor="text1"/>
        </w:tcBorders>
      </w:tcPr>
    </w:tblStylePr>
    <w:tblStylePr w:type="firstCol">
      <w:rPr>
        <w:b/>
        <w:color w:val="000000" w:themeColor="text1"/>
      </w:rPr>
    </w:tblStylePr>
    <w:tblStylePr w:type="lastCol">
      <w:rPr>
        <w:b/>
        <w:color w:val="000000" w:themeColor="text1"/>
      </w:rPr>
    </w:tblStylePr>
    <w:tblStylePr w:type="band1Vert">
      <w:tblPr/>
      <w:tcPr>
        <w:shd w:val="clear" w:color="BFBFBF" w:fill="BFBFBF" w:themeFill="text1" w:themeFillTint="40"/>
      </w:tcPr>
    </w:tblStylePr>
    <w:tblStylePr w:type="band1Horz">
      <w:rPr>
        <w:color w:val="000000" w:themeColor="text1"/>
        <w:sz w:val="22"/>
      </w:rPr>
      <w:tblPr/>
      <w:tcPr>
        <w:shd w:val="clear" w:color="BFBFBF" w:fill="BFBFBF" w:themeFill="text1" w:themeFillTint="40"/>
      </w:tcPr>
    </w:tblStylePr>
    <w:tblStylePr w:type="band2Horz">
      <w:rPr>
        <w:color w:val="000000" w:themeColor="text1"/>
        <w:sz w:val="22"/>
      </w:rPr>
    </w:tblStylePr>
  </w:style>
  <w:style w:type="table" w:styleId="ListTable6Colorful-Accent1">
    <w:name w:val="List Table 6 Colorful Accent 1"/>
    <w:basedOn w:val="TableNormal"/>
    <w:uiPriority w:val="99"/>
    <w:tblPr>
      <w:tblStyleRowBandSize w:val="1"/>
      <w:tblStyleColBandSize w:val="1"/>
      <w:tblBorders>
        <w:top w:val="single" w:sz="4" w:space="0" w:color="156082" w:themeColor="accent1"/>
        <w:bottom w:val="single" w:sz="4" w:space="0" w:color="156082" w:themeColor="accent1"/>
      </w:tblBorders>
    </w:tblPr>
    <w:tblStylePr w:type="firstRow">
      <w:rPr>
        <w:b/>
        <w:color w:val="0C374B" w:themeColor="accent1" w:themeShade="95"/>
      </w:rPr>
      <w:tblPr/>
      <w:tcPr>
        <w:tcBorders>
          <w:bottom w:val="single" w:sz="4" w:space="0" w:color="156082" w:themeColor="accent1"/>
        </w:tcBorders>
      </w:tcPr>
    </w:tblStylePr>
    <w:tblStylePr w:type="lastRow">
      <w:rPr>
        <w:b/>
        <w:color w:val="0C374B" w:themeColor="accent1" w:themeShade="95"/>
      </w:rPr>
      <w:tblPr/>
      <w:tcPr>
        <w:tcBorders>
          <w:top w:val="single" w:sz="4" w:space="0" w:color="156082" w:themeColor="accent1"/>
        </w:tcBorders>
      </w:tcPr>
    </w:tblStylePr>
    <w:tblStylePr w:type="firstCol">
      <w:rPr>
        <w:b/>
        <w:color w:val="0C374B" w:themeColor="accent1" w:themeShade="95"/>
      </w:rPr>
    </w:tblStylePr>
    <w:tblStylePr w:type="lastCol">
      <w:rPr>
        <w:b/>
        <w:color w:val="0C374B" w:themeColor="accent1" w:themeShade="95"/>
      </w:rPr>
    </w:tblStylePr>
    <w:tblStylePr w:type="band1Vert">
      <w:tblPr/>
      <w:tcPr>
        <w:shd w:val="clear" w:color="B1DEF2" w:fill="B1DEF2" w:themeFill="accent1" w:themeFillTint="40"/>
      </w:tcPr>
    </w:tblStylePr>
    <w:tblStylePr w:type="band1Horz">
      <w:rPr>
        <w:color w:val="0C374B" w:themeColor="accent1" w:themeShade="95"/>
        <w:sz w:val="22"/>
      </w:rPr>
      <w:tblPr/>
      <w:tcPr>
        <w:shd w:val="clear" w:color="B1DEF2" w:fill="B1DEF2" w:themeFill="accent1" w:themeFillTint="40"/>
      </w:tcPr>
    </w:tblStylePr>
    <w:tblStylePr w:type="band2Horz">
      <w:rPr>
        <w:color w:val="0C374B" w:themeColor="accent1" w:themeShade="95"/>
        <w:sz w:val="22"/>
      </w:rPr>
    </w:tblStylePr>
  </w:style>
  <w:style w:type="table" w:styleId="ListTable6Colorful-Accent2">
    <w:name w:val="List Table 6 Colorful Accent 2"/>
    <w:basedOn w:val="TableNormal"/>
    <w:uiPriority w:val="99"/>
    <w:tblPr>
      <w:tblStyleRowBandSize w:val="1"/>
      <w:tblStyleColBandSize w:val="1"/>
      <w:tblBorders>
        <w:top w:val="single" w:sz="4" w:space="0" w:color="F2AA85" w:themeColor="accent2" w:themeTint="97"/>
        <w:bottom w:val="single" w:sz="4" w:space="0" w:color="F2AA85" w:themeColor="accent2" w:themeTint="97"/>
      </w:tblBorders>
    </w:tblPr>
    <w:tblStylePr w:type="firstRow">
      <w:rPr>
        <w:b/>
        <w:color w:val="F2AA85" w:themeColor="accent2" w:themeTint="97" w:themeShade="95"/>
      </w:rPr>
      <w:tblPr/>
      <w:tcPr>
        <w:tcBorders>
          <w:bottom w:val="single" w:sz="4" w:space="0" w:color="E97132" w:themeColor="accent2"/>
        </w:tcBorders>
      </w:tcPr>
    </w:tblStylePr>
    <w:tblStylePr w:type="lastRow">
      <w:rPr>
        <w:b/>
        <w:color w:val="F2AA85" w:themeColor="accent2" w:themeTint="97" w:themeShade="95"/>
      </w:rPr>
      <w:tblPr/>
      <w:tcPr>
        <w:tcBorders>
          <w:top w:val="single" w:sz="4" w:space="0" w:color="E97132" w:themeColor="accent2"/>
        </w:tcBorders>
      </w:tc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9DBCB" w:fill="F9DBCB" w:themeFill="accent2" w:themeFillTint="40"/>
      </w:tcPr>
    </w:tblStylePr>
    <w:tblStylePr w:type="band1Horz">
      <w:rPr>
        <w:color w:val="F2AA85" w:themeColor="accent2" w:themeTint="97" w:themeShade="95"/>
        <w:sz w:val="22"/>
      </w:rPr>
      <w:tblPr/>
      <w:tcPr>
        <w:shd w:val="clear" w:color="F9DBCB" w:fill="F9DBCB" w:themeFill="accent2" w:themeFillTint="40"/>
      </w:tcPr>
    </w:tblStylePr>
    <w:tblStylePr w:type="band2Horz">
      <w:rPr>
        <w:color w:val="F2AA85" w:themeColor="accent2" w:themeTint="97" w:themeShade="95"/>
        <w:sz w:val="22"/>
      </w:rPr>
    </w:tblStylePr>
  </w:style>
  <w:style w:type="table" w:styleId="ListTable6Colorful-Accent3">
    <w:name w:val="List Table 6 Colorful Accent 3"/>
    <w:basedOn w:val="TableNormal"/>
    <w:uiPriority w:val="99"/>
    <w:tblPr>
      <w:tblStyleRowBandSize w:val="1"/>
      <w:tblStyleColBandSize w:val="1"/>
      <w:tblBorders>
        <w:top w:val="single" w:sz="4" w:space="0" w:color="48D45B" w:themeColor="accent3" w:themeTint="98"/>
        <w:bottom w:val="single" w:sz="4" w:space="0" w:color="48D45B" w:themeColor="accent3" w:themeTint="98"/>
      </w:tblBorders>
    </w:tblPr>
    <w:tblStylePr w:type="firstRow">
      <w:rPr>
        <w:b/>
        <w:color w:val="48D45B" w:themeColor="accent3" w:themeTint="98" w:themeShade="95"/>
      </w:rPr>
      <w:tblPr/>
      <w:tcPr>
        <w:tcBorders>
          <w:bottom w:val="single" w:sz="4" w:space="0" w:color="196B24" w:themeColor="accent3"/>
        </w:tcBorders>
      </w:tcPr>
    </w:tblStylePr>
    <w:tblStylePr w:type="lastRow">
      <w:rPr>
        <w:b/>
        <w:color w:val="48D45B" w:themeColor="accent3" w:themeTint="98" w:themeShade="95"/>
      </w:rPr>
      <w:tblPr/>
      <w:tcPr>
        <w:tcBorders>
          <w:top w:val="single" w:sz="4" w:space="0" w:color="196B24" w:themeColor="accent3"/>
        </w:tcBorders>
      </w:tcPr>
    </w:tblStylePr>
    <w:tblStylePr w:type="firstCol">
      <w:rPr>
        <w:b/>
        <w:color w:val="48D45B" w:themeColor="accent3" w:themeTint="98" w:themeShade="95"/>
      </w:rPr>
    </w:tblStylePr>
    <w:tblStylePr w:type="lastCol">
      <w:rPr>
        <w:b/>
        <w:color w:val="48D45B" w:themeColor="accent3" w:themeTint="98" w:themeShade="95"/>
      </w:rPr>
    </w:tblStylePr>
    <w:tblStylePr w:type="band1Vert">
      <w:tblPr/>
      <w:tcPr>
        <w:shd w:val="clear" w:color="B2EDB9" w:fill="B2EDB9" w:themeFill="accent3" w:themeFillTint="40"/>
      </w:tcPr>
    </w:tblStylePr>
    <w:tblStylePr w:type="band1Horz">
      <w:rPr>
        <w:color w:val="48D45B" w:themeColor="accent3" w:themeTint="98" w:themeShade="95"/>
        <w:sz w:val="22"/>
      </w:rPr>
      <w:tblPr/>
      <w:tcPr>
        <w:shd w:val="clear" w:color="B2EDB9" w:fill="B2EDB9" w:themeFill="accent3" w:themeFillTint="40"/>
      </w:tcPr>
    </w:tblStylePr>
    <w:tblStylePr w:type="band2Horz">
      <w:rPr>
        <w:color w:val="48D45B" w:themeColor="accent3" w:themeTint="98" w:themeShade="95"/>
        <w:sz w:val="22"/>
      </w:rPr>
    </w:tblStylePr>
  </w:style>
  <w:style w:type="table" w:styleId="ListTable6Colorful-Accent4">
    <w:name w:val="List Table 6 Colorful Accent 4"/>
    <w:basedOn w:val="TableNormal"/>
    <w:uiPriority w:val="99"/>
    <w:tblPr>
      <w:tblStyleRowBandSize w:val="1"/>
      <w:tblStyleColBandSize w:val="1"/>
      <w:tblBorders>
        <w:top w:val="single" w:sz="4" w:space="0" w:color="5FCAF3" w:themeColor="accent4" w:themeTint="9A"/>
        <w:bottom w:val="single" w:sz="4" w:space="0" w:color="5FCAF3" w:themeColor="accent4" w:themeTint="9A"/>
      </w:tblBorders>
    </w:tblPr>
    <w:tblStylePr w:type="firstRow">
      <w:rPr>
        <w:b/>
        <w:color w:val="5FCAF3" w:themeColor="accent4" w:themeTint="9A" w:themeShade="95"/>
      </w:rPr>
      <w:tblPr/>
      <w:tcPr>
        <w:tcBorders>
          <w:bottom w:val="single" w:sz="4" w:space="0" w:color="0F9ED5" w:themeColor="accent4"/>
        </w:tcBorders>
      </w:tcPr>
    </w:tblStylePr>
    <w:tblStylePr w:type="lastRow">
      <w:rPr>
        <w:b/>
        <w:color w:val="5FCAF3" w:themeColor="accent4" w:themeTint="9A" w:themeShade="95"/>
      </w:rPr>
      <w:tblPr/>
      <w:tcPr>
        <w:tcBorders>
          <w:top w:val="single" w:sz="4" w:space="0" w:color="0F9ED5" w:themeColor="accent4"/>
        </w:tcBorders>
      </w:tc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BCE9FA" w:fill="BCE9FA" w:themeFill="accent4" w:themeFillTint="40"/>
      </w:tcPr>
    </w:tblStylePr>
    <w:tblStylePr w:type="band1Horz">
      <w:rPr>
        <w:color w:val="5FCAF3" w:themeColor="accent4" w:themeTint="9A" w:themeShade="95"/>
        <w:sz w:val="22"/>
      </w:rPr>
      <w:tblPr/>
      <w:tcPr>
        <w:shd w:val="clear" w:color="BCE9FA" w:fill="BCE9FA" w:themeFill="accent4" w:themeFillTint="40"/>
      </w:tcPr>
    </w:tblStylePr>
    <w:tblStylePr w:type="band2Horz">
      <w:rPr>
        <w:color w:val="5FCAF3" w:themeColor="accent4" w:themeTint="9A" w:themeShade="95"/>
        <w:sz w:val="22"/>
      </w:rPr>
    </w:tblStylePr>
  </w:style>
  <w:style w:type="table" w:styleId="ListTable6Colorful-Accent5">
    <w:name w:val="List Table 6 Colorful Accent 5"/>
    <w:basedOn w:val="TableNormal"/>
    <w:uiPriority w:val="99"/>
    <w:tblPr>
      <w:tblStyleRowBandSize w:val="1"/>
      <w:tblStyleColBandSize w:val="1"/>
      <w:tblBorders>
        <w:top w:val="single" w:sz="4" w:space="0" w:color="D76CCB" w:themeColor="accent5" w:themeTint="9A"/>
        <w:bottom w:val="single" w:sz="4" w:space="0" w:color="D76CCB" w:themeColor="accent5" w:themeTint="9A"/>
      </w:tblBorders>
    </w:tblPr>
    <w:tblStylePr w:type="firstRow">
      <w:rPr>
        <w:b/>
        <w:color w:val="D76CCB" w:themeColor="accent5" w:themeTint="9A" w:themeShade="95"/>
      </w:rPr>
      <w:tblPr/>
      <w:tcPr>
        <w:tcBorders>
          <w:bottom w:val="single" w:sz="4" w:space="0" w:color="A02B93" w:themeColor="accent5"/>
        </w:tcBorders>
      </w:tcPr>
    </w:tblStylePr>
    <w:tblStylePr w:type="lastRow">
      <w:rPr>
        <w:b/>
        <w:color w:val="D76CCB" w:themeColor="accent5" w:themeTint="9A" w:themeShade="95"/>
      </w:rPr>
      <w:tblPr/>
      <w:tcPr>
        <w:tcBorders>
          <w:top w:val="single" w:sz="4" w:space="0" w:color="A02B93" w:themeColor="accent5"/>
        </w:tcBorders>
      </w:tcPr>
    </w:tblStylePr>
    <w:tblStylePr w:type="firstCol">
      <w:rPr>
        <w:b/>
        <w:color w:val="D76CCB" w:themeColor="accent5" w:themeTint="9A" w:themeShade="95"/>
      </w:rPr>
    </w:tblStylePr>
    <w:tblStylePr w:type="lastCol">
      <w:rPr>
        <w:b/>
        <w:color w:val="D76CCB" w:themeColor="accent5" w:themeTint="9A" w:themeShade="95"/>
      </w:rPr>
    </w:tblStylePr>
    <w:tblStylePr w:type="band1Vert">
      <w:tblPr/>
      <w:tcPr>
        <w:shd w:val="clear" w:color="EEC2E9" w:fill="EEC2E9" w:themeFill="accent5" w:themeFillTint="40"/>
      </w:tcPr>
    </w:tblStylePr>
    <w:tblStylePr w:type="band1Horz">
      <w:rPr>
        <w:color w:val="D76CCB" w:themeColor="accent5" w:themeTint="9A" w:themeShade="95"/>
        <w:sz w:val="22"/>
      </w:rPr>
      <w:tblPr/>
      <w:tcPr>
        <w:shd w:val="clear" w:color="EEC2E9" w:fill="EEC2E9" w:themeFill="accent5" w:themeFillTint="40"/>
      </w:tcPr>
    </w:tblStylePr>
    <w:tblStylePr w:type="band2Horz">
      <w:rPr>
        <w:color w:val="D76CCB" w:themeColor="accent5" w:themeTint="9A" w:themeShade="95"/>
        <w:sz w:val="22"/>
      </w:rPr>
    </w:tblStylePr>
  </w:style>
  <w:style w:type="table" w:styleId="ListTable6Colorful-Accent6">
    <w:name w:val="List Table 6 Colorful Accent 6"/>
    <w:basedOn w:val="TableNormal"/>
    <w:uiPriority w:val="99"/>
    <w:tblPr>
      <w:tblStyleRowBandSize w:val="1"/>
      <w:tblStyleColBandSize w:val="1"/>
      <w:tblBorders>
        <w:top w:val="single" w:sz="4" w:space="0" w:color="8ED873" w:themeColor="accent6" w:themeTint="98"/>
        <w:bottom w:val="single" w:sz="4" w:space="0" w:color="8ED873" w:themeColor="accent6" w:themeTint="98"/>
      </w:tblBorders>
    </w:tblPr>
    <w:tblStylePr w:type="firstRow">
      <w:rPr>
        <w:b/>
        <w:color w:val="8ED873" w:themeColor="accent6" w:themeTint="98" w:themeShade="95"/>
      </w:rPr>
      <w:tblPr/>
      <w:tcPr>
        <w:tcBorders>
          <w:bottom w:val="single" w:sz="4" w:space="0" w:color="4EA72E" w:themeColor="accent6"/>
        </w:tcBorders>
      </w:tcPr>
    </w:tblStylePr>
    <w:tblStylePr w:type="lastRow">
      <w:rPr>
        <w:b/>
        <w:color w:val="8ED873" w:themeColor="accent6" w:themeTint="98" w:themeShade="95"/>
      </w:rPr>
      <w:tblPr/>
      <w:tcPr>
        <w:tcBorders>
          <w:top w:val="single" w:sz="4" w:space="0" w:color="4EA72E" w:themeColor="accent6"/>
        </w:tcBorders>
      </w:tcPr>
    </w:tblStylePr>
    <w:tblStylePr w:type="firstCol">
      <w:rPr>
        <w:b/>
        <w:color w:val="8ED873" w:themeColor="accent6" w:themeTint="98" w:themeShade="95"/>
      </w:rPr>
    </w:tblStylePr>
    <w:tblStylePr w:type="lastCol">
      <w:rPr>
        <w:b/>
        <w:color w:val="8ED873" w:themeColor="accent6" w:themeTint="98" w:themeShade="95"/>
      </w:rPr>
    </w:tblStylePr>
    <w:tblStylePr w:type="band1Vert">
      <w:tblPr/>
      <w:tcPr>
        <w:shd w:val="clear" w:color="CFEFC4" w:fill="CFEFC4" w:themeFill="accent6" w:themeFillTint="40"/>
      </w:tcPr>
    </w:tblStylePr>
    <w:tblStylePr w:type="band1Horz">
      <w:rPr>
        <w:color w:val="8ED873" w:themeColor="accent6" w:themeTint="98" w:themeShade="95"/>
        <w:sz w:val="22"/>
      </w:rPr>
      <w:tblPr/>
      <w:tcPr>
        <w:shd w:val="clear" w:color="CFEFC4" w:fill="CFEFC4" w:themeFill="accent6" w:themeFillTint="40"/>
      </w:tcPr>
    </w:tblStylePr>
    <w:tblStylePr w:type="band2Horz">
      <w:rPr>
        <w:color w:val="8ED873" w:themeColor="accent6" w:themeTint="98" w:themeShade="95"/>
        <w:sz w:val="22"/>
      </w:rPr>
    </w:tblStylePr>
  </w:style>
  <w:style w:type="table" w:styleId="ListTable7Colorful">
    <w:name w:val="List Table 7 Colorful"/>
    <w:basedOn w:val="TableNormal"/>
    <w:uiPriority w:val="99"/>
    <w:tblPr>
      <w:tblStyleRowBandSize w:val="1"/>
      <w:tblStyleColBandSize w:val="1"/>
      <w:tblBorders>
        <w:right w:val="single" w:sz="4" w:space="0" w:color="7F7F7F" w:themeColor="text1" w:themeTint="80"/>
      </w:tblBorders>
    </w:tblPr>
    <w:tblStylePr w:type="firstRow">
      <w:rPr>
        <w:i/>
        <w:color w:val="7F7F7F" w:themeColor="text1" w:themeTint="80" w:themeShade="95"/>
        <w:sz w:val="22"/>
      </w:rPr>
      <w:tblPr/>
      <w:tcPr>
        <w:tcBorders>
          <w:top w:val="none" w:sz="0" w:space="0" w:color="auto"/>
          <w:left w:val="none" w:sz="0" w:space="0" w:color="auto"/>
          <w:bottom w:val="single" w:sz="4" w:space="0" w:color="000000" w:themeColor="text1"/>
          <w:right w:val="none" w:sz="0" w:space="0" w:color="auto"/>
        </w:tcBorders>
        <w:shd w:val="clear" w:color="FFFFFF" w:fill="FFFFFF" w:themeFill="light1"/>
      </w:tcPr>
    </w:tblStylePr>
    <w:tblStylePr w:type="lastRow">
      <w:rPr>
        <w:i/>
        <w:color w:val="7F7F7F" w:themeColor="text1" w:themeTint="80" w:themeShade="95"/>
        <w:sz w:val="22"/>
      </w:rPr>
      <w:tblPr/>
      <w:tcPr>
        <w:tcBorders>
          <w:top w:val="single" w:sz="4" w:space="0" w:color="000000" w:themeColor="text1"/>
          <w:left w:val="none" w:sz="0" w:space="0" w:color="auto"/>
          <w:bottom w:val="none" w:sz="0" w:space="0" w:color="auto"/>
          <w:right w:val="none" w:sz="0" w:space="0" w:color="auto"/>
        </w:tcBorders>
        <w:shd w:val="clear" w:color="FFFFFF" w:fill="FFFFFF" w:themeFill="light1"/>
      </w:tcPr>
    </w:tblStylePr>
    <w:tblStylePr w:type="firstCol">
      <w:pPr>
        <w:jc w:val="right"/>
      </w:pPr>
      <w:rPr>
        <w:i/>
        <w:color w:val="7F7F7F" w:themeColor="text1" w:themeTint="80" w:themeShade="95"/>
        <w:sz w:val="22"/>
      </w:rPr>
      <w:tblPr/>
      <w:tcPr>
        <w:tcBorders>
          <w:top w:val="none" w:sz="0" w:space="0" w:color="auto"/>
          <w:left w:val="none" w:sz="0" w:space="0" w:color="auto"/>
          <w:bottom w:val="none" w:sz="0" w:space="0" w:color="auto"/>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0" w:space="0" w:color="auto"/>
          <w:left w:val="single" w:sz="4" w:space="0" w:color="000000" w:themeColor="text1"/>
          <w:bottom w:val="none" w:sz="0" w:space="0" w:color="auto"/>
          <w:right w:val="none" w:sz="0" w:space="0" w:color="auto"/>
        </w:tcBorders>
        <w:shd w:val="clear" w:color="FFFFFF" w:fill="auto"/>
      </w:tcPr>
    </w:tblStylePr>
    <w:tblStylePr w:type="band1Vert">
      <w:tblPr/>
      <w:tcPr>
        <w:shd w:val="clear" w:color="BFBFBF" w:fill="BFBFBF" w:themeFill="text1" w:themeFillTint="40"/>
      </w:tcPr>
    </w:tblStylePr>
    <w:tblStylePr w:type="band1Horz">
      <w:rPr>
        <w:color w:val="7F7F7F" w:themeColor="text1" w:themeTint="80" w:themeShade="95"/>
        <w:sz w:val="22"/>
      </w:rPr>
      <w:tblPr/>
      <w:tcPr>
        <w:shd w:val="clear" w:color="BFBFBF" w:fill="BFBFBF" w:themeFill="text1" w:themeFillTint="40"/>
      </w:tcPr>
    </w:tblStylePr>
    <w:tblStylePr w:type="band2Horz">
      <w:rPr>
        <w:color w:val="7F7F7F" w:themeColor="text1" w:themeTint="80" w:themeShade="95"/>
        <w:sz w:val="22"/>
      </w:rPr>
    </w:tblStylePr>
  </w:style>
  <w:style w:type="table" w:styleId="ListTable7Colorful-Accent1">
    <w:name w:val="List Table 7 Colorful Accent 1"/>
    <w:basedOn w:val="TableNormal"/>
    <w:uiPriority w:val="99"/>
    <w:tblPr>
      <w:tblStyleRowBandSize w:val="1"/>
      <w:tblStyleColBandSize w:val="1"/>
      <w:tblBorders>
        <w:right w:val="single" w:sz="4" w:space="0" w:color="156082" w:themeColor="accent1"/>
      </w:tblBorders>
    </w:tblPr>
    <w:tblStylePr w:type="firstRow">
      <w:rPr>
        <w:i/>
        <w:color w:val="0C374B" w:themeColor="accent1" w:themeShade="95"/>
        <w:sz w:val="22"/>
      </w:rPr>
      <w:tblPr/>
      <w:tcPr>
        <w:tcBorders>
          <w:top w:val="none" w:sz="0" w:space="0" w:color="auto"/>
          <w:left w:val="none" w:sz="0" w:space="0" w:color="auto"/>
          <w:bottom w:val="single" w:sz="4" w:space="0" w:color="156082" w:themeColor="accent1"/>
          <w:right w:val="none" w:sz="0" w:space="0" w:color="auto"/>
        </w:tcBorders>
        <w:shd w:val="clear" w:color="FFFFFF" w:fill="FFFFFF" w:themeFill="light1"/>
      </w:tcPr>
    </w:tblStylePr>
    <w:tblStylePr w:type="lastRow">
      <w:rPr>
        <w:i/>
        <w:color w:val="0C374B" w:themeColor="accent1" w:themeShade="95"/>
        <w:sz w:val="22"/>
      </w:rPr>
      <w:tblPr/>
      <w:tcPr>
        <w:tcBorders>
          <w:top w:val="single" w:sz="4" w:space="0" w:color="156082" w:themeColor="accent1"/>
          <w:left w:val="none" w:sz="0" w:space="0" w:color="auto"/>
          <w:bottom w:val="none" w:sz="0" w:space="0" w:color="auto"/>
          <w:right w:val="none" w:sz="0" w:space="0" w:color="auto"/>
        </w:tcBorders>
        <w:shd w:val="clear" w:color="FFFFFF" w:fill="FFFFFF" w:themeFill="light1"/>
      </w:tcPr>
    </w:tblStylePr>
    <w:tblStylePr w:type="firstCol">
      <w:pPr>
        <w:jc w:val="right"/>
      </w:pPr>
      <w:rPr>
        <w:i/>
        <w:color w:val="0C374B" w:themeColor="accent1" w:themeShade="95"/>
        <w:sz w:val="22"/>
      </w:rPr>
      <w:tblPr/>
      <w:tcPr>
        <w:tcBorders>
          <w:top w:val="none" w:sz="0" w:space="0" w:color="auto"/>
          <w:left w:val="none" w:sz="0" w:space="0" w:color="auto"/>
          <w:bottom w:val="none" w:sz="0" w:space="0" w:color="auto"/>
          <w:right w:val="single" w:sz="4" w:space="0" w:color="156082" w:themeColor="accent1"/>
        </w:tcBorders>
        <w:shd w:val="clear" w:color="FFFFFF" w:fill="auto"/>
      </w:tcPr>
    </w:tblStylePr>
    <w:tblStylePr w:type="lastCol">
      <w:rPr>
        <w:i/>
        <w:color w:val="0C374B" w:themeColor="accent1" w:themeShade="95"/>
        <w:sz w:val="22"/>
      </w:rPr>
      <w:tblPr/>
      <w:tcPr>
        <w:tcBorders>
          <w:top w:val="none" w:sz="0" w:space="0" w:color="auto"/>
          <w:left w:val="single" w:sz="4" w:space="0" w:color="156082" w:themeColor="accent1"/>
          <w:bottom w:val="none" w:sz="0" w:space="0" w:color="auto"/>
          <w:right w:val="none" w:sz="0" w:space="0" w:color="auto"/>
        </w:tcBorders>
        <w:shd w:val="clear" w:color="FFFFFF" w:fill="auto"/>
      </w:tcPr>
    </w:tblStylePr>
    <w:tblStylePr w:type="band1Vert">
      <w:tblPr/>
      <w:tcPr>
        <w:shd w:val="clear" w:color="B1DEF2" w:fill="B1DEF2" w:themeFill="accent1" w:themeFillTint="40"/>
      </w:tcPr>
    </w:tblStylePr>
    <w:tblStylePr w:type="band1Horz">
      <w:rPr>
        <w:color w:val="0C374B" w:themeColor="accent1" w:themeShade="95"/>
        <w:sz w:val="22"/>
      </w:rPr>
      <w:tblPr/>
      <w:tcPr>
        <w:shd w:val="clear" w:color="B1DEF2" w:fill="B1DEF2" w:themeFill="accent1" w:themeFillTint="40"/>
      </w:tcPr>
    </w:tblStylePr>
    <w:tblStylePr w:type="band2Horz">
      <w:rPr>
        <w:color w:val="0C374B" w:themeColor="accent1" w:themeShade="95"/>
        <w:sz w:val="22"/>
      </w:rPr>
    </w:tblStylePr>
  </w:style>
  <w:style w:type="table" w:styleId="ListTable7Colorful-Accent2">
    <w:name w:val="List Table 7 Colorful Accent 2"/>
    <w:basedOn w:val="TableNormal"/>
    <w:uiPriority w:val="99"/>
    <w:tblPr>
      <w:tblStyleRowBandSize w:val="1"/>
      <w:tblStyleColBandSize w:val="1"/>
      <w:tblBorders>
        <w:right w:val="single" w:sz="4" w:space="0" w:color="F2AA85" w:themeColor="accent2" w:themeTint="97"/>
      </w:tblBorders>
    </w:tblPr>
    <w:tblStylePr w:type="firstRow">
      <w:rPr>
        <w:i/>
        <w:color w:val="F2AA85" w:themeColor="accent2" w:themeTint="97" w:themeShade="95"/>
        <w:sz w:val="22"/>
      </w:rPr>
      <w:tblPr/>
      <w:tcPr>
        <w:tcBorders>
          <w:top w:val="none" w:sz="0" w:space="0" w:color="auto"/>
          <w:left w:val="none" w:sz="0" w:space="0" w:color="auto"/>
          <w:bottom w:val="single" w:sz="4" w:space="0" w:color="E97132" w:themeColor="accent2"/>
          <w:right w:val="none" w:sz="0" w:space="0" w:color="auto"/>
        </w:tcBorders>
        <w:shd w:val="clear" w:color="FFFFFF" w:fill="FFFFFF" w:themeFill="light1"/>
      </w:tcPr>
    </w:tblStylePr>
    <w:tblStylePr w:type="lastRow">
      <w:rPr>
        <w:i/>
        <w:color w:val="F2AA85" w:themeColor="accent2" w:themeTint="97" w:themeShade="95"/>
        <w:sz w:val="22"/>
      </w:rPr>
      <w:tblPr/>
      <w:tcPr>
        <w:tcBorders>
          <w:top w:val="single" w:sz="4" w:space="0" w:color="E97132" w:themeColor="accent2"/>
          <w:left w:val="none" w:sz="0" w:space="0" w:color="auto"/>
          <w:bottom w:val="none" w:sz="0" w:space="0" w:color="auto"/>
          <w:right w:val="none" w:sz="0" w:space="0" w:color="auto"/>
        </w:tcBorders>
        <w:shd w:val="clear" w:color="FFFFFF" w:fill="FFFFFF" w:themeFill="light1"/>
      </w:tcPr>
    </w:tblStylePr>
    <w:tblStylePr w:type="firstCol">
      <w:pPr>
        <w:jc w:val="right"/>
      </w:pPr>
      <w:rPr>
        <w:i/>
        <w:color w:val="F2AA85" w:themeColor="accent2" w:themeTint="97" w:themeShade="95"/>
        <w:sz w:val="22"/>
      </w:rPr>
      <w:tblPr/>
      <w:tcPr>
        <w:tcBorders>
          <w:top w:val="none" w:sz="0" w:space="0" w:color="auto"/>
          <w:left w:val="none" w:sz="0" w:space="0" w:color="auto"/>
          <w:bottom w:val="none" w:sz="0" w:space="0" w:color="auto"/>
          <w:right w:val="single" w:sz="4" w:space="0" w:color="E97132" w:themeColor="accent2"/>
        </w:tcBorders>
        <w:shd w:val="clear" w:color="FFFFFF" w:fill="auto"/>
      </w:tcPr>
    </w:tblStylePr>
    <w:tblStylePr w:type="lastCol">
      <w:rPr>
        <w:i/>
        <w:color w:val="F2AA85" w:themeColor="accent2" w:themeTint="97" w:themeShade="95"/>
        <w:sz w:val="22"/>
      </w:rPr>
      <w:tblPr/>
      <w:tcPr>
        <w:tcBorders>
          <w:top w:val="none" w:sz="0" w:space="0" w:color="auto"/>
          <w:left w:val="single" w:sz="4" w:space="0" w:color="E97132" w:themeColor="accent2"/>
          <w:bottom w:val="none" w:sz="0" w:space="0" w:color="auto"/>
          <w:right w:val="none" w:sz="0" w:space="0" w:color="auto"/>
        </w:tcBorders>
        <w:shd w:val="clear" w:color="FFFFFF" w:fill="auto"/>
      </w:tcPr>
    </w:tblStylePr>
    <w:tblStylePr w:type="band1Vert">
      <w:tblPr/>
      <w:tcPr>
        <w:shd w:val="clear" w:color="F9DBCB" w:fill="F9DBCB" w:themeFill="accent2" w:themeFillTint="40"/>
      </w:tcPr>
    </w:tblStylePr>
    <w:tblStylePr w:type="band1Horz">
      <w:rPr>
        <w:color w:val="F2AA85" w:themeColor="accent2" w:themeTint="97" w:themeShade="95"/>
        <w:sz w:val="22"/>
      </w:rPr>
      <w:tblPr/>
      <w:tcPr>
        <w:shd w:val="clear" w:color="F9DBCB" w:fill="F9DBCB" w:themeFill="accent2" w:themeFillTint="40"/>
      </w:tcPr>
    </w:tblStylePr>
    <w:tblStylePr w:type="band2Horz">
      <w:rPr>
        <w:color w:val="F2AA85" w:themeColor="accent2" w:themeTint="97" w:themeShade="95"/>
        <w:sz w:val="22"/>
      </w:rPr>
    </w:tblStylePr>
  </w:style>
  <w:style w:type="table" w:styleId="ListTable7Colorful-Accent3">
    <w:name w:val="List Table 7 Colorful Accent 3"/>
    <w:basedOn w:val="TableNormal"/>
    <w:uiPriority w:val="99"/>
    <w:tblPr>
      <w:tblStyleRowBandSize w:val="1"/>
      <w:tblStyleColBandSize w:val="1"/>
      <w:tblBorders>
        <w:right w:val="single" w:sz="4" w:space="0" w:color="48D45B" w:themeColor="accent3" w:themeTint="98"/>
      </w:tblBorders>
    </w:tblPr>
    <w:tblStylePr w:type="firstRow">
      <w:rPr>
        <w:i/>
        <w:color w:val="48D45B" w:themeColor="accent3" w:themeTint="98" w:themeShade="95"/>
        <w:sz w:val="22"/>
      </w:rPr>
      <w:tblPr/>
      <w:tcPr>
        <w:tcBorders>
          <w:top w:val="none" w:sz="0" w:space="0" w:color="auto"/>
          <w:left w:val="none" w:sz="0" w:space="0" w:color="auto"/>
          <w:bottom w:val="single" w:sz="4" w:space="0" w:color="196B24" w:themeColor="accent3"/>
          <w:right w:val="none" w:sz="0" w:space="0" w:color="auto"/>
        </w:tcBorders>
        <w:shd w:val="clear" w:color="FFFFFF" w:fill="FFFFFF" w:themeFill="light1"/>
      </w:tcPr>
    </w:tblStylePr>
    <w:tblStylePr w:type="lastRow">
      <w:rPr>
        <w:i/>
        <w:color w:val="48D45B" w:themeColor="accent3" w:themeTint="98" w:themeShade="95"/>
        <w:sz w:val="22"/>
      </w:rPr>
      <w:tblPr/>
      <w:tcPr>
        <w:tcBorders>
          <w:top w:val="single" w:sz="4" w:space="0" w:color="196B24" w:themeColor="accent3"/>
          <w:left w:val="none" w:sz="0" w:space="0" w:color="auto"/>
          <w:bottom w:val="none" w:sz="0" w:space="0" w:color="auto"/>
          <w:right w:val="none" w:sz="0" w:space="0" w:color="auto"/>
        </w:tcBorders>
        <w:shd w:val="clear" w:color="FFFFFF" w:fill="FFFFFF" w:themeFill="light1"/>
      </w:tcPr>
    </w:tblStylePr>
    <w:tblStylePr w:type="firstCol">
      <w:pPr>
        <w:jc w:val="right"/>
      </w:pPr>
      <w:rPr>
        <w:i/>
        <w:color w:val="48D45B" w:themeColor="accent3" w:themeTint="98" w:themeShade="95"/>
        <w:sz w:val="22"/>
      </w:rPr>
      <w:tblPr/>
      <w:tcPr>
        <w:tcBorders>
          <w:top w:val="none" w:sz="0" w:space="0" w:color="auto"/>
          <w:left w:val="none" w:sz="0" w:space="0" w:color="auto"/>
          <w:bottom w:val="none" w:sz="0" w:space="0" w:color="auto"/>
          <w:right w:val="single" w:sz="4" w:space="0" w:color="196B24" w:themeColor="accent3"/>
        </w:tcBorders>
        <w:shd w:val="clear" w:color="FFFFFF" w:fill="auto"/>
      </w:tcPr>
    </w:tblStylePr>
    <w:tblStylePr w:type="lastCol">
      <w:rPr>
        <w:i/>
        <w:color w:val="48D45B" w:themeColor="accent3" w:themeTint="98" w:themeShade="95"/>
        <w:sz w:val="22"/>
      </w:rPr>
      <w:tblPr/>
      <w:tcPr>
        <w:tcBorders>
          <w:top w:val="none" w:sz="0" w:space="0" w:color="auto"/>
          <w:left w:val="single" w:sz="4" w:space="0" w:color="196B24" w:themeColor="accent3"/>
          <w:bottom w:val="none" w:sz="0" w:space="0" w:color="auto"/>
          <w:right w:val="none" w:sz="0" w:space="0" w:color="auto"/>
        </w:tcBorders>
        <w:shd w:val="clear" w:color="FFFFFF" w:fill="auto"/>
      </w:tcPr>
    </w:tblStylePr>
    <w:tblStylePr w:type="band1Vert">
      <w:tblPr/>
      <w:tcPr>
        <w:shd w:val="clear" w:color="B2EDB9" w:fill="B2EDB9" w:themeFill="accent3" w:themeFillTint="40"/>
      </w:tcPr>
    </w:tblStylePr>
    <w:tblStylePr w:type="band1Horz">
      <w:rPr>
        <w:color w:val="48D45B" w:themeColor="accent3" w:themeTint="98" w:themeShade="95"/>
        <w:sz w:val="22"/>
      </w:rPr>
      <w:tblPr/>
      <w:tcPr>
        <w:shd w:val="clear" w:color="B2EDB9" w:fill="B2EDB9" w:themeFill="accent3" w:themeFillTint="40"/>
      </w:tcPr>
    </w:tblStylePr>
    <w:tblStylePr w:type="band2Horz">
      <w:rPr>
        <w:color w:val="48D45B" w:themeColor="accent3" w:themeTint="98" w:themeShade="95"/>
        <w:sz w:val="22"/>
      </w:rPr>
    </w:tblStylePr>
  </w:style>
  <w:style w:type="table" w:styleId="ListTable7Colorful-Accent4">
    <w:name w:val="List Table 7 Colorful Accent 4"/>
    <w:basedOn w:val="TableNormal"/>
    <w:uiPriority w:val="99"/>
    <w:tblPr>
      <w:tblStyleRowBandSize w:val="1"/>
      <w:tblStyleColBandSize w:val="1"/>
      <w:tblBorders>
        <w:right w:val="single" w:sz="4" w:space="0" w:color="5FCAF3" w:themeColor="accent4" w:themeTint="9A"/>
      </w:tblBorders>
    </w:tblPr>
    <w:tblStylePr w:type="firstRow">
      <w:rPr>
        <w:i/>
        <w:color w:val="5FCAF3" w:themeColor="accent4" w:themeTint="9A" w:themeShade="95"/>
        <w:sz w:val="22"/>
      </w:rPr>
      <w:tblPr/>
      <w:tcPr>
        <w:tcBorders>
          <w:top w:val="none" w:sz="0" w:space="0" w:color="auto"/>
          <w:left w:val="none" w:sz="0" w:space="0" w:color="auto"/>
          <w:bottom w:val="single" w:sz="4" w:space="0" w:color="0F9ED5" w:themeColor="accent4"/>
          <w:right w:val="none" w:sz="0" w:space="0" w:color="auto"/>
        </w:tcBorders>
        <w:shd w:val="clear" w:color="FFFFFF" w:fill="FFFFFF" w:themeFill="light1"/>
      </w:tcPr>
    </w:tblStylePr>
    <w:tblStylePr w:type="lastRow">
      <w:rPr>
        <w:i/>
        <w:color w:val="5FCAF3" w:themeColor="accent4" w:themeTint="9A" w:themeShade="95"/>
        <w:sz w:val="22"/>
      </w:rPr>
      <w:tblPr/>
      <w:tcPr>
        <w:tcBorders>
          <w:top w:val="single" w:sz="4" w:space="0" w:color="0F9ED5" w:themeColor="accent4"/>
          <w:left w:val="none" w:sz="0" w:space="0" w:color="auto"/>
          <w:bottom w:val="none" w:sz="0" w:space="0" w:color="auto"/>
          <w:right w:val="none" w:sz="0" w:space="0" w:color="auto"/>
        </w:tcBorders>
        <w:shd w:val="clear" w:color="FFFFFF" w:fill="FFFFFF" w:themeFill="light1"/>
      </w:tcPr>
    </w:tblStylePr>
    <w:tblStylePr w:type="firstCol">
      <w:pPr>
        <w:jc w:val="right"/>
      </w:pPr>
      <w:rPr>
        <w:i/>
        <w:color w:val="5FCAF3" w:themeColor="accent4" w:themeTint="9A" w:themeShade="95"/>
        <w:sz w:val="22"/>
      </w:rPr>
      <w:tblPr/>
      <w:tcPr>
        <w:tcBorders>
          <w:top w:val="none" w:sz="0" w:space="0" w:color="auto"/>
          <w:left w:val="none" w:sz="0" w:space="0" w:color="auto"/>
          <w:bottom w:val="none" w:sz="0" w:space="0" w:color="auto"/>
          <w:right w:val="single" w:sz="4" w:space="0" w:color="0F9ED5" w:themeColor="accent4"/>
        </w:tcBorders>
        <w:shd w:val="clear" w:color="FFFFFF" w:fill="auto"/>
      </w:tcPr>
    </w:tblStylePr>
    <w:tblStylePr w:type="lastCol">
      <w:rPr>
        <w:i/>
        <w:color w:val="5FCAF3" w:themeColor="accent4" w:themeTint="9A" w:themeShade="95"/>
        <w:sz w:val="22"/>
      </w:rPr>
      <w:tblPr/>
      <w:tcPr>
        <w:tcBorders>
          <w:top w:val="none" w:sz="0" w:space="0" w:color="auto"/>
          <w:left w:val="single" w:sz="4" w:space="0" w:color="0F9ED5" w:themeColor="accent4"/>
          <w:bottom w:val="none" w:sz="0" w:space="0" w:color="auto"/>
          <w:right w:val="none" w:sz="0" w:space="0" w:color="auto"/>
        </w:tcBorders>
        <w:shd w:val="clear" w:color="FFFFFF" w:fill="auto"/>
      </w:tcPr>
    </w:tblStylePr>
    <w:tblStylePr w:type="band1Vert">
      <w:tblPr/>
      <w:tcPr>
        <w:shd w:val="clear" w:color="BCE9FA" w:fill="BCE9FA" w:themeFill="accent4" w:themeFillTint="40"/>
      </w:tcPr>
    </w:tblStylePr>
    <w:tblStylePr w:type="band1Horz">
      <w:rPr>
        <w:color w:val="5FCAF3" w:themeColor="accent4" w:themeTint="9A" w:themeShade="95"/>
        <w:sz w:val="22"/>
      </w:rPr>
      <w:tblPr/>
      <w:tcPr>
        <w:shd w:val="clear" w:color="BCE9FA" w:fill="BCE9FA" w:themeFill="accent4" w:themeFillTint="40"/>
      </w:tcPr>
    </w:tblStylePr>
    <w:tblStylePr w:type="band2Horz">
      <w:rPr>
        <w:color w:val="5FCAF3" w:themeColor="accent4" w:themeTint="9A" w:themeShade="95"/>
        <w:sz w:val="22"/>
      </w:rPr>
    </w:tblStylePr>
  </w:style>
  <w:style w:type="table" w:styleId="ListTable7Colorful-Accent5">
    <w:name w:val="List Table 7 Colorful Accent 5"/>
    <w:basedOn w:val="TableNormal"/>
    <w:uiPriority w:val="99"/>
    <w:tblPr>
      <w:tblStyleRowBandSize w:val="1"/>
      <w:tblStyleColBandSize w:val="1"/>
      <w:tblBorders>
        <w:right w:val="single" w:sz="4" w:space="0" w:color="D76CCB" w:themeColor="accent5" w:themeTint="9A"/>
      </w:tblBorders>
    </w:tblPr>
    <w:tblStylePr w:type="firstRow">
      <w:rPr>
        <w:i/>
        <w:color w:val="D76CCB" w:themeColor="accent5" w:themeTint="9A" w:themeShade="95"/>
        <w:sz w:val="22"/>
      </w:rPr>
      <w:tblPr/>
      <w:tcPr>
        <w:tcBorders>
          <w:top w:val="none" w:sz="0" w:space="0" w:color="auto"/>
          <w:left w:val="none" w:sz="0" w:space="0" w:color="auto"/>
          <w:bottom w:val="single" w:sz="4" w:space="0" w:color="A02B93" w:themeColor="accent5"/>
          <w:right w:val="none" w:sz="0" w:space="0" w:color="auto"/>
        </w:tcBorders>
        <w:shd w:val="clear" w:color="FFFFFF" w:fill="FFFFFF" w:themeFill="light1"/>
      </w:tcPr>
    </w:tblStylePr>
    <w:tblStylePr w:type="lastRow">
      <w:rPr>
        <w:i/>
        <w:color w:val="D76CCB" w:themeColor="accent5" w:themeTint="9A" w:themeShade="95"/>
        <w:sz w:val="22"/>
      </w:rPr>
      <w:tblPr/>
      <w:tcPr>
        <w:tcBorders>
          <w:top w:val="single" w:sz="4" w:space="0" w:color="A02B93" w:themeColor="accent5"/>
          <w:left w:val="none" w:sz="0" w:space="0" w:color="auto"/>
          <w:bottom w:val="none" w:sz="0" w:space="0" w:color="auto"/>
          <w:right w:val="none" w:sz="0" w:space="0" w:color="auto"/>
        </w:tcBorders>
        <w:shd w:val="clear" w:color="FFFFFF" w:fill="FFFFFF" w:themeFill="light1"/>
      </w:tcPr>
    </w:tblStylePr>
    <w:tblStylePr w:type="firstCol">
      <w:pPr>
        <w:jc w:val="right"/>
      </w:pPr>
      <w:rPr>
        <w:i/>
        <w:color w:val="D76CCB" w:themeColor="accent5" w:themeTint="9A" w:themeShade="95"/>
        <w:sz w:val="22"/>
      </w:rPr>
      <w:tblPr/>
      <w:tcPr>
        <w:tcBorders>
          <w:top w:val="none" w:sz="0" w:space="0" w:color="auto"/>
          <w:left w:val="none" w:sz="0" w:space="0" w:color="auto"/>
          <w:bottom w:val="none" w:sz="0" w:space="0" w:color="auto"/>
          <w:right w:val="single" w:sz="4" w:space="0" w:color="A02B93" w:themeColor="accent5"/>
        </w:tcBorders>
        <w:shd w:val="clear" w:color="FFFFFF" w:fill="auto"/>
      </w:tcPr>
    </w:tblStylePr>
    <w:tblStylePr w:type="lastCol">
      <w:rPr>
        <w:i/>
        <w:color w:val="D76CCB" w:themeColor="accent5" w:themeTint="9A" w:themeShade="95"/>
        <w:sz w:val="22"/>
      </w:rPr>
      <w:tblPr/>
      <w:tcPr>
        <w:tcBorders>
          <w:top w:val="none" w:sz="0" w:space="0" w:color="auto"/>
          <w:left w:val="single" w:sz="4" w:space="0" w:color="A02B93" w:themeColor="accent5"/>
          <w:bottom w:val="none" w:sz="0" w:space="0" w:color="auto"/>
          <w:right w:val="none" w:sz="0" w:space="0" w:color="auto"/>
        </w:tcBorders>
        <w:shd w:val="clear" w:color="FFFFFF" w:fill="auto"/>
      </w:tcPr>
    </w:tblStylePr>
    <w:tblStylePr w:type="band1Vert">
      <w:tblPr/>
      <w:tcPr>
        <w:shd w:val="clear" w:color="EEC2E9" w:fill="EEC2E9" w:themeFill="accent5" w:themeFillTint="40"/>
      </w:tcPr>
    </w:tblStylePr>
    <w:tblStylePr w:type="band1Horz">
      <w:rPr>
        <w:color w:val="D76CCB" w:themeColor="accent5" w:themeTint="9A" w:themeShade="95"/>
        <w:sz w:val="22"/>
      </w:rPr>
      <w:tblPr/>
      <w:tcPr>
        <w:shd w:val="clear" w:color="EEC2E9" w:fill="EEC2E9" w:themeFill="accent5" w:themeFillTint="40"/>
      </w:tcPr>
    </w:tblStylePr>
    <w:tblStylePr w:type="band2Horz">
      <w:rPr>
        <w:color w:val="D76CCB" w:themeColor="accent5" w:themeTint="9A" w:themeShade="95"/>
        <w:sz w:val="22"/>
      </w:rPr>
    </w:tblStylePr>
  </w:style>
  <w:style w:type="table" w:styleId="ListTable7Colorful-Accent6">
    <w:name w:val="List Table 7 Colorful Accent 6"/>
    <w:basedOn w:val="TableNormal"/>
    <w:uiPriority w:val="99"/>
    <w:tblPr>
      <w:tblStyleRowBandSize w:val="1"/>
      <w:tblStyleColBandSize w:val="1"/>
      <w:tblBorders>
        <w:right w:val="single" w:sz="4" w:space="0" w:color="8ED873" w:themeColor="accent6" w:themeTint="98"/>
      </w:tblBorders>
    </w:tblPr>
    <w:tblStylePr w:type="firstRow">
      <w:rPr>
        <w:i/>
        <w:color w:val="8ED873" w:themeColor="accent6" w:themeTint="98" w:themeShade="95"/>
        <w:sz w:val="22"/>
      </w:rPr>
      <w:tblPr/>
      <w:tcPr>
        <w:tcBorders>
          <w:top w:val="none" w:sz="0" w:space="0" w:color="auto"/>
          <w:left w:val="none" w:sz="0" w:space="0" w:color="auto"/>
          <w:bottom w:val="single" w:sz="4" w:space="0" w:color="4EA72E" w:themeColor="accent6"/>
          <w:right w:val="none" w:sz="0" w:space="0" w:color="auto"/>
        </w:tcBorders>
        <w:shd w:val="clear" w:color="FFFFFF" w:fill="FFFFFF" w:themeFill="light1"/>
      </w:tcPr>
    </w:tblStylePr>
    <w:tblStylePr w:type="lastRow">
      <w:rPr>
        <w:i/>
        <w:color w:val="8ED873" w:themeColor="accent6" w:themeTint="98" w:themeShade="95"/>
        <w:sz w:val="22"/>
      </w:rPr>
      <w:tblPr/>
      <w:tcPr>
        <w:tcBorders>
          <w:top w:val="single" w:sz="4" w:space="0" w:color="4EA72E" w:themeColor="accent6"/>
          <w:left w:val="none" w:sz="0" w:space="0" w:color="auto"/>
          <w:bottom w:val="none" w:sz="0" w:space="0" w:color="auto"/>
          <w:right w:val="none" w:sz="0" w:space="0" w:color="auto"/>
        </w:tcBorders>
        <w:shd w:val="clear" w:color="FFFFFF" w:fill="FFFFFF" w:themeFill="light1"/>
      </w:tcPr>
    </w:tblStylePr>
    <w:tblStylePr w:type="firstCol">
      <w:pPr>
        <w:jc w:val="right"/>
      </w:pPr>
      <w:rPr>
        <w:i/>
        <w:color w:val="8ED873" w:themeColor="accent6" w:themeTint="98" w:themeShade="95"/>
        <w:sz w:val="22"/>
      </w:rPr>
      <w:tblPr/>
      <w:tcPr>
        <w:tcBorders>
          <w:top w:val="none" w:sz="0" w:space="0" w:color="auto"/>
          <w:left w:val="none" w:sz="0" w:space="0" w:color="auto"/>
          <w:bottom w:val="none" w:sz="0" w:space="0" w:color="auto"/>
          <w:right w:val="single" w:sz="4" w:space="0" w:color="4EA72E" w:themeColor="accent6"/>
        </w:tcBorders>
        <w:shd w:val="clear" w:color="FFFFFF" w:fill="auto"/>
      </w:tcPr>
    </w:tblStylePr>
    <w:tblStylePr w:type="lastCol">
      <w:rPr>
        <w:i/>
        <w:color w:val="8ED873" w:themeColor="accent6" w:themeTint="98" w:themeShade="95"/>
        <w:sz w:val="22"/>
      </w:rPr>
      <w:tblPr/>
      <w:tcPr>
        <w:tcBorders>
          <w:top w:val="none" w:sz="0" w:space="0" w:color="auto"/>
          <w:left w:val="single" w:sz="4" w:space="0" w:color="4EA72E" w:themeColor="accent6"/>
          <w:bottom w:val="none" w:sz="0" w:space="0" w:color="auto"/>
          <w:right w:val="none" w:sz="0" w:space="0" w:color="auto"/>
        </w:tcBorders>
        <w:shd w:val="clear" w:color="FFFFFF" w:fill="auto"/>
      </w:tcPr>
    </w:tblStylePr>
    <w:tblStylePr w:type="band1Vert">
      <w:tblPr/>
      <w:tcPr>
        <w:shd w:val="clear" w:color="CFEFC4" w:fill="CFEFC4" w:themeFill="accent6" w:themeFillTint="40"/>
      </w:tcPr>
    </w:tblStylePr>
    <w:tblStylePr w:type="band1Horz">
      <w:rPr>
        <w:color w:val="8ED873" w:themeColor="accent6" w:themeTint="98" w:themeShade="95"/>
        <w:sz w:val="22"/>
      </w:rPr>
      <w:tblPr/>
      <w:tcPr>
        <w:shd w:val="clear" w:color="CFEFC4" w:fill="CFEFC4" w:themeFill="accent6" w:themeFillTint="40"/>
      </w:tcPr>
    </w:tblStylePr>
    <w:tblStylePr w:type="band2Horz">
      <w:rPr>
        <w:color w:val="8ED873" w:themeColor="accent6" w:themeTint="98" w:themeShade="95"/>
        <w:sz w:val="22"/>
      </w:rPr>
    </w:tblStylePr>
  </w:style>
  <w:style w:type="table" w:customStyle="1" w:styleId="Lined-Accent">
    <w:name w:val="Lined - Accent"/>
    <w:basedOn w:val="TableNormal"/>
    <w:uiPriority w:val="99"/>
    <w:rPr>
      <w:sz w:val="20"/>
      <w:szCs w:val="20"/>
    </w:rPr>
    <w:tblPr>
      <w:tblStyleRowBandSize w:val="1"/>
      <w:tblStyleColBandSize w:val="1"/>
    </w:tblPr>
    <w:tblStylePr w:type="firstRow">
      <w:rPr>
        <w:sz w:val="22"/>
      </w:rPr>
      <w:tblPr/>
      <w:tcPr>
        <w:shd w:val="clear" w:color="7F7F7F" w:fill="7F7F7F" w:themeFill="text1" w:themeFillTint="80"/>
      </w:tcPr>
    </w:tblStylePr>
    <w:tblStylePr w:type="lastRow">
      <w:rPr>
        <w:sz w:val="22"/>
      </w:rPr>
      <w:tblPr/>
      <w:tcPr>
        <w:shd w:val="clear" w:color="7F7F7F" w:fill="7F7F7F" w:themeFill="text1" w:themeFillTint="80"/>
      </w:tcPr>
    </w:tblStylePr>
    <w:tblStylePr w:type="firstCol">
      <w:rPr>
        <w:sz w:val="22"/>
      </w:rPr>
      <w:tblPr/>
      <w:tcPr>
        <w:shd w:val="clear" w:color="7F7F7F" w:fill="7F7F7F" w:themeFill="text1" w:themeFillTint="80"/>
      </w:tcPr>
    </w:tblStylePr>
    <w:tblStylePr w:type="lastCol">
      <w:rPr>
        <w:sz w:val="22"/>
      </w:rPr>
      <w:tblPr/>
      <w:tcPr>
        <w:shd w:val="clear" w:color="7F7F7F" w:fill="7F7F7F" w:themeFill="text1" w:themeFillTint="80"/>
      </w:tcPr>
    </w:tblStylePr>
    <w:tblStylePr w:type="band1Vert">
      <w:rPr>
        <w:sz w:val="22"/>
      </w:rPr>
    </w:tblStylePr>
    <w:tblStylePr w:type="band2Vert">
      <w:rPr>
        <w:sz w:val="22"/>
      </w:rPr>
      <w:tblPr/>
      <w:tcPr>
        <w:shd w:val="clear" w:color="F2F2F2" w:fill="F2F2F2" w:themeFill="text1" w:themeFillTint="0D"/>
      </w:tcPr>
    </w:tblStylePr>
    <w:tblStylePr w:type="band1Horz">
      <w:rPr>
        <w:sz w:val="22"/>
      </w:rPr>
    </w:tblStylePr>
    <w:tblStylePr w:type="band2Horz">
      <w:rPr>
        <w:sz w:val="22"/>
      </w:rPr>
      <w:tblPr/>
      <w:tcPr>
        <w:shd w:val="clear" w:color="F2F2F2" w:fill="F2F2F2" w:themeFill="text1" w:themeFillTint="0D"/>
      </w:tcPr>
    </w:tblStylePr>
  </w:style>
  <w:style w:type="table" w:customStyle="1" w:styleId="Lined-Accent1">
    <w:name w:val="Lined - Accent 1"/>
    <w:basedOn w:val="TableNormal"/>
    <w:uiPriority w:val="99"/>
    <w:rPr>
      <w:sz w:val="20"/>
      <w:szCs w:val="20"/>
    </w:rPr>
    <w:tblPr>
      <w:tblStyleRowBandSize w:val="1"/>
      <w:tblStyleColBandSize w:val="1"/>
    </w:tblPr>
    <w:tblStylePr w:type="firstRow">
      <w:rPr>
        <w:sz w:val="22"/>
      </w:rPr>
      <w:tblPr/>
      <w:tcPr>
        <w:shd w:val="clear" w:color="19729B" w:fill="19729B" w:themeFill="accent1" w:themeFillTint="EA"/>
      </w:tcPr>
    </w:tblStylePr>
    <w:tblStylePr w:type="lastRow">
      <w:rPr>
        <w:sz w:val="22"/>
      </w:rPr>
      <w:tblPr/>
      <w:tcPr>
        <w:shd w:val="clear" w:color="19729B" w:fill="19729B" w:themeFill="accent1" w:themeFillTint="EA"/>
      </w:tcPr>
    </w:tblStylePr>
    <w:tblStylePr w:type="firstCol">
      <w:rPr>
        <w:sz w:val="22"/>
      </w:rPr>
      <w:tblPr/>
      <w:tcPr>
        <w:shd w:val="clear" w:color="19729B" w:fill="19729B" w:themeFill="accent1" w:themeFillTint="EA"/>
      </w:tcPr>
    </w:tblStylePr>
    <w:tblStylePr w:type="lastCol">
      <w:rPr>
        <w:sz w:val="22"/>
      </w:rPr>
      <w:tblPr/>
      <w:tcPr>
        <w:shd w:val="clear" w:color="19729B" w:fill="19729B" w:themeFill="accent1" w:themeFillTint="EA"/>
      </w:tcPr>
    </w:tblStylePr>
    <w:tblStylePr w:type="band1Vert">
      <w:rPr>
        <w:sz w:val="22"/>
      </w:rPr>
    </w:tblStylePr>
    <w:tblStylePr w:type="band2Vert">
      <w:rPr>
        <w:sz w:val="22"/>
      </w:rPr>
      <w:tblPr/>
      <w:tcPr>
        <w:shd w:val="clear" w:color="9ED5EF" w:fill="9ED5EF" w:themeFill="accent1" w:themeFillTint="50"/>
      </w:tcPr>
    </w:tblStylePr>
    <w:tblStylePr w:type="band1Horz">
      <w:rPr>
        <w:sz w:val="22"/>
      </w:rPr>
    </w:tblStylePr>
    <w:tblStylePr w:type="band2Horz">
      <w:rPr>
        <w:sz w:val="22"/>
      </w:rPr>
      <w:tblPr/>
      <w:tcPr>
        <w:shd w:val="clear" w:color="9ED5EF" w:fill="9ED5EF" w:themeFill="accent1" w:themeFillTint="50"/>
      </w:tcPr>
    </w:tblStylePr>
  </w:style>
  <w:style w:type="table" w:customStyle="1" w:styleId="Lined-Accent2">
    <w:name w:val="Lined - Accent 2"/>
    <w:basedOn w:val="TableNormal"/>
    <w:uiPriority w:val="99"/>
    <w:rPr>
      <w:sz w:val="20"/>
      <w:szCs w:val="20"/>
    </w:rPr>
    <w:tblPr>
      <w:tblStyleRowBandSize w:val="1"/>
      <w:tblStyleColBandSize w:val="1"/>
    </w:tblPr>
    <w:tblStylePr w:type="firstRow">
      <w:rPr>
        <w:sz w:val="22"/>
      </w:rPr>
      <w:tblPr/>
      <w:tcPr>
        <w:shd w:val="clear" w:color="F2AA85" w:fill="F2AA85" w:themeFill="accent2" w:themeFillTint="97"/>
      </w:tcPr>
    </w:tblStylePr>
    <w:tblStylePr w:type="lastRow">
      <w:rPr>
        <w:sz w:val="22"/>
      </w:rPr>
      <w:tblPr/>
      <w:tcPr>
        <w:shd w:val="clear" w:color="F2AA85" w:fill="F2AA85" w:themeFill="accent2" w:themeFillTint="97"/>
      </w:tcPr>
    </w:tblStylePr>
    <w:tblStylePr w:type="firstCol">
      <w:rPr>
        <w:sz w:val="22"/>
      </w:rPr>
      <w:tblPr/>
      <w:tcPr>
        <w:shd w:val="clear" w:color="F2AA85" w:fill="F2AA85" w:themeFill="accent2" w:themeFillTint="97"/>
      </w:tcPr>
    </w:tblStylePr>
    <w:tblStylePr w:type="lastCol">
      <w:rPr>
        <w:sz w:val="22"/>
      </w:rPr>
      <w:tblPr/>
      <w:tcPr>
        <w:shd w:val="clear" w:color="F2AA85" w:fill="F2AA85" w:themeFill="accent2" w:themeFillTint="97"/>
      </w:tcPr>
    </w:tblStylePr>
    <w:tblStylePr w:type="band1Vert">
      <w:rPr>
        <w:sz w:val="22"/>
      </w:rPr>
    </w:tblStylePr>
    <w:tblStylePr w:type="band2Vert">
      <w:rPr>
        <w:sz w:val="22"/>
      </w:rPr>
      <w:tblPr/>
      <w:tcPr>
        <w:shd w:val="clear" w:color="FAE2D6" w:fill="FAE2D6" w:themeFill="accent2" w:themeFillTint="32"/>
      </w:tcPr>
    </w:tblStylePr>
    <w:tblStylePr w:type="band1Horz">
      <w:rPr>
        <w:sz w:val="22"/>
      </w:rPr>
    </w:tblStylePr>
    <w:tblStylePr w:type="band2Horz">
      <w:rPr>
        <w:sz w:val="22"/>
      </w:rPr>
      <w:tblPr/>
      <w:tcPr>
        <w:shd w:val="clear" w:color="FAE2D6" w:fill="FAE2D6" w:themeFill="accent2" w:themeFillTint="32"/>
      </w:tcPr>
    </w:tblStylePr>
  </w:style>
  <w:style w:type="table" w:customStyle="1" w:styleId="Lined-Accent3">
    <w:name w:val="Lined - Accent 3"/>
    <w:basedOn w:val="TableNormal"/>
    <w:uiPriority w:val="99"/>
    <w:rPr>
      <w:sz w:val="20"/>
      <w:szCs w:val="20"/>
    </w:rPr>
    <w:tblPr>
      <w:tblStyleRowBandSize w:val="1"/>
      <w:tblStyleColBandSize w:val="1"/>
    </w:tblPr>
    <w:tblStylePr w:type="firstRow">
      <w:rPr>
        <w:sz w:val="22"/>
      </w:rPr>
      <w:tblPr/>
      <w:tcPr>
        <w:shd w:val="clear" w:color="196C24" w:fill="196C24" w:themeFill="accent3" w:themeFillTint="FE"/>
      </w:tcPr>
    </w:tblStylePr>
    <w:tblStylePr w:type="lastRow">
      <w:rPr>
        <w:sz w:val="22"/>
      </w:rPr>
      <w:tblPr/>
      <w:tcPr>
        <w:shd w:val="clear" w:color="196C24" w:fill="196C24" w:themeFill="accent3" w:themeFillTint="FE"/>
      </w:tcPr>
    </w:tblStylePr>
    <w:tblStylePr w:type="firstCol">
      <w:rPr>
        <w:sz w:val="22"/>
      </w:rPr>
      <w:tblPr/>
      <w:tcPr>
        <w:shd w:val="clear" w:color="196C24" w:fill="196C24" w:themeFill="accent3" w:themeFillTint="FE"/>
      </w:tcPr>
    </w:tblStylePr>
    <w:tblStylePr w:type="lastCol">
      <w:rPr>
        <w:sz w:val="22"/>
      </w:rPr>
      <w:tblPr/>
      <w:tcPr>
        <w:shd w:val="clear" w:color="196C24" w:fill="196C24" w:themeFill="accent3" w:themeFillTint="FE"/>
      </w:tcPr>
    </w:tblStylePr>
    <w:tblStylePr w:type="band1Vert">
      <w:rPr>
        <w:sz w:val="22"/>
      </w:rPr>
    </w:tblStylePr>
    <w:tblStylePr w:type="band2Vert">
      <w:rPr>
        <w:sz w:val="22"/>
      </w:rPr>
      <w:tblPr/>
      <w:tcPr>
        <w:shd w:val="clear" w:color="C0F0C6" w:fill="C0F0C6" w:themeFill="accent3" w:themeFillTint="34"/>
      </w:tcPr>
    </w:tblStylePr>
    <w:tblStylePr w:type="band1Horz">
      <w:rPr>
        <w:sz w:val="22"/>
      </w:rPr>
    </w:tblStylePr>
    <w:tblStylePr w:type="band2Horz">
      <w:rPr>
        <w:sz w:val="22"/>
      </w:rPr>
      <w:tblPr/>
      <w:tcPr>
        <w:shd w:val="clear" w:color="C0F0C6" w:fill="C0F0C6" w:themeFill="accent3" w:themeFillTint="34"/>
      </w:tcPr>
    </w:tblStylePr>
  </w:style>
  <w:style w:type="table" w:customStyle="1" w:styleId="Lined-Accent4">
    <w:name w:val="Lined - Accent 4"/>
    <w:basedOn w:val="TableNormal"/>
    <w:uiPriority w:val="99"/>
    <w:rPr>
      <w:sz w:val="20"/>
      <w:szCs w:val="20"/>
    </w:rPr>
    <w:tblPr>
      <w:tblStyleRowBandSize w:val="1"/>
      <w:tblStyleColBandSize w:val="1"/>
    </w:tblPr>
    <w:tblStylePr w:type="firstRow">
      <w:rPr>
        <w:sz w:val="22"/>
      </w:rPr>
      <w:tblPr/>
      <w:tcPr>
        <w:shd w:val="clear" w:color="5FCAF3" w:fill="5FCAF3" w:themeFill="accent4" w:themeFillTint="9A"/>
      </w:tcPr>
    </w:tblStylePr>
    <w:tblStylePr w:type="lastRow">
      <w:rPr>
        <w:sz w:val="22"/>
      </w:rPr>
      <w:tblPr/>
      <w:tcPr>
        <w:shd w:val="clear" w:color="5FCAF3" w:fill="5FCAF3" w:themeFill="accent4" w:themeFillTint="9A"/>
      </w:tcPr>
    </w:tblStylePr>
    <w:tblStylePr w:type="firstCol">
      <w:rPr>
        <w:sz w:val="22"/>
      </w:rPr>
      <w:tblPr/>
      <w:tcPr>
        <w:shd w:val="clear" w:color="5FCAF3" w:fill="5FCAF3" w:themeFill="accent4" w:themeFillTint="9A"/>
      </w:tcPr>
    </w:tblStylePr>
    <w:tblStylePr w:type="lastCol">
      <w:rPr>
        <w:sz w:val="22"/>
      </w:rPr>
      <w:tblPr/>
      <w:tcPr>
        <w:shd w:val="clear" w:color="5FCAF3" w:fill="5FCAF3" w:themeFill="accent4" w:themeFillTint="9A"/>
      </w:tcPr>
    </w:tblStylePr>
    <w:tblStylePr w:type="band1Vert">
      <w:rPr>
        <w:sz w:val="22"/>
      </w:rPr>
    </w:tblStylePr>
    <w:tblStylePr w:type="band2Vert">
      <w:rPr>
        <w:sz w:val="22"/>
      </w:rPr>
      <w:tblPr/>
      <w:tcPr>
        <w:shd w:val="clear" w:color="C9EDFB" w:fill="C9EDFB" w:themeFill="accent4" w:themeFillTint="34"/>
      </w:tcPr>
    </w:tblStylePr>
    <w:tblStylePr w:type="band1Horz">
      <w:rPr>
        <w:sz w:val="22"/>
      </w:rPr>
    </w:tblStylePr>
    <w:tblStylePr w:type="band2Horz">
      <w:rPr>
        <w:sz w:val="22"/>
      </w:rPr>
      <w:tblPr/>
      <w:tcPr>
        <w:shd w:val="clear" w:color="C9EDFB" w:fill="C9EDFB" w:themeFill="accent4" w:themeFillTint="34"/>
      </w:tcPr>
    </w:tblStylePr>
  </w:style>
  <w:style w:type="table" w:customStyle="1" w:styleId="Lined-Accent5">
    <w:name w:val="Lined - Accent 5"/>
    <w:basedOn w:val="TableNormal"/>
    <w:uiPriority w:val="99"/>
    <w:rPr>
      <w:sz w:val="20"/>
      <w:szCs w:val="20"/>
    </w:rPr>
    <w:tblPr>
      <w:tblStyleRowBandSize w:val="1"/>
      <w:tblStyleColBandSize w:val="1"/>
    </w:tblPr>
    <w:tblStylePr w:type="firstRow">
      <w:rPr>
        <w:sz w:val="22"/>
      </w:rPr>
      <w:tblPr/>
      <w:tcPr>
        <w:shd w:val="clear" w:color="A02B93" w:fill="A02B93" w:themeFill="accent5"/>
      </w:tcPr>
    </w:tblStylePr>
    <w:tblStylePr w:type="lastRow">
      <w:rPr>
        <w:sz w:val="22"/>
      </w:rPr>
      <w:tblPr/>
      <w:tcPr>
        <w:shd w:val="clear" w:color="A02B93" w:fill="A02B93" w:themeFill="accent5"/>
      </w:tcPr>
    </w:tblStylePr>
    <w:tblStylePr w:type="firstCol">
      <w:rPr>
        <w:sz w:val="22"/>
      </w:rPr>
      <w:tblPr/>
      <w:tcPr>
        <w:shd w:val="clear" w:color="A02B93" w:fill="A02B93" w:themeFill="accent5"/>
      </w:tcPr>
    </w:tblStylePr>
    <w:tblStylePr w:type="lastCol">
      <w:rPr>
        <w:sz w:val="22"/>
      </w:rPr>
      <w:tblPr/>
      <w:tcPr>
        <w:shd w:val="clear" w:color="A02B93" w:fill="A02B93" w:themeFill="accent5"/>
      </w:tcPr>
    </w:tblStylePr>
    <w:tblStylePr w:type="band1Vert">
      <w:rPr>
        <w:sz w:val="22"/>
      </w:rPr>
    </w:tblStylePr>
    <w:tblStylePr w:type="band2Vert">
      <w:rPr>
        <w:sz w:val="22"/>
      </w:rPr>
      <w:tblPr/>
      <w:tcPr>
        <w:shd w:val="clear" w:color="F1CDED" w:fill="F1CDED" w:themeFill="accent5" w:themeFillTint="34"/>
      </w:tcPr>
    </w:tblStylePr>
    <w:tblStylePr w:type="band1Horz">
      <w:rPr>
        <w:sz w:val="22"/>
      </w:rPr>
    </w:tblStylePr>
    <w:tblStylePr w:type="band2Horz">
      <w:rPr>
        <w:sz w:val="22"/>
      </w:rPr>
      <w:tblPr/>
      <w:tcPr>
        <w:shd w:val="clear" w:color="F1CDED" w:fill="F1CDED" w:themeFill="accent5" w:themeFillTint="34"/>
      </w:tcPr>
    </w:tblStylePr>
  </w:style>
  <w:style w:type="table" w:customStyle="1" w:styleId="Lined-Accent6">
    <w:name w:val="Lined - Accent 6"/>
    <w:basedOn w:val="TableNormal"/>
    <w:uiPriority w:val="99"/>
    <w:rPr>
      <w:sz w:val="20"/>
      <w:szCs w:val="20"/>
    </w:rPr>
    <w:tblPr>
      <w:tblStyleRowBandSize w:val="1"/>
      <w:tblStyleColBandSize w:val="1"/>
    </w:tblPr>
    <w:tblStylePr w:type="firstRow">
      <w:rPr>
        <w:sz w:val="22"/>
      </w:rPr>
      <w:tblPr/>
      <w:tcPr>
        <w:shd w:val="clear" w:color="4EA72E" w:fill="4EA72E" w:themeFill="accent6"/>
      </w:tcPr>
    </w:tblStylePr>
    <w:tblStylePr w:type="lastRow">
      <w:rPr>
        <w:sz w:val="22"/>
      </w:rPr>
      <w:tblPr/>
      <w:tcPr>
        <w:shd w:val="clear" w:color="4EA72E" w:fill="4EA72E" w:themeFill="accent6"/>
      </w:tcPr>
    </w:tblStylePr>
    <w:tblStylePr w:type="firstCol">
      <w:rPr>
        <w:sz w:val="22"/>
      </w:rPr>
      <w:tblPr/>
      <w:tcPr>
        <w:shd w:val="clear" w:color="4EA72E" w:fill="4EA72E" w:themeFill="accent6"/>
      </w:tcPr>
    </w:tblStylePr>
    <w:tblStylePr w:type="lastCol">
      <w:rPr>
        <w:sz w:val="22"/>
      </w:rPr>
      <w:tblPr/>
      <w:tcPr>
        <w:shd w:val="clear" w:color="4EA72E" w:fill="4EA72E" w:themeFill="accent6"/>
      </w:tcPr>
    </w:tblStylePr>
    <w:tblStylePr w:type="band1Vert">
      <w:rPr>
        <w:sz w:val="22"/>
      </w:rPr>
    </w:tblStylePr>
    <w:tblStylePr w:type="band2Vert">
      <w:rPr>
        <w:sz w:val="22"/>
      </w:rPr>
      <w:tblPr/>
      <w:tcPr>
        <w:shd w:val="clear" w:color="D8F2CF" w:fill="D8F2CF" w:themeFill="accent6" w:themeFillTint="34"/>
      </w:tcPr>
    </w:tblStylePr>
    <w:tblStylePr w:type="band1Horz">
      <w:rPr>
        <w:sz w:val="22"/>
      </w:rPr>
    </w:tblStylePr>
    <w:tblStylePr w:type="band2Horz">
      <w:rPr>
        <w:sz w:val="22"/>
      </w:rPr>
      <w:tblPr/>
      <w:tcPr>
        <w:shd w:val="clear" w:color="D8F2CF" w:fill="D8F2CF" w:themeFill="accent6" w:themeFillTint="34"/>
      </w:tcPr>
    </w:tblStylePr>
  </w:style>
  <w:style w:type="table" w:customStyle="1" w:styleId="BorderedLined-Accent">
    <w:name w:val="Bordered &amp; Lined - Accent"/>
    <w:basedOn w:val="TableNormal"/>
    <w:uiPriority w:val="99"/>
    <w:rPr>
      <w:sz w:val="2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sz w:val="22"/>
      </w:rPr>
      <w:tblPr/>
      <w:tcPr>
        <w:shd w:val="clear" w:color="7F7F7F" w:fill="7F7F7F" w:themeFill="text1" w:themeFillTint="80"/>
      </w:tcPr>
    </w:tblStylePr>
    <w:tblStylePr w:type="lastRow">
      <w:rPr>
        <w:sz w:val="22"/>
      </w:rPr>
      <w:tblPr/>
      <w:tcPr>
        <w:shd w:val="clear" w:color="7F7F7F" w:fill="7F7F7F" w:themeFill="text1" w:themeFillTint="80"/>
      </w:tcPr>
    </w:tblStylePr>
    <w:tblStylePr w:type="firstCol">
      <w:rPr>
        <w:sz w:val="22"/>
      </w:rPr>
      <w:tblPr/>
      <w:tcPr>
        <w:shd w:val="clear" w:color="7F7F7F" w:fill="7F7F7F" w:themeFill="text1" w:themeFillTint="80"/>
      </w:tcPr>
    </w:tblStylePr>
    <w:tblStylePr w:type="lastCol">
      <w:rPr>
        <w:sz w:val="22"/>
      </w:rPr>
      <w:tblPr/>
      <w:tcPr>
        <w:shd w:val="clear" w:color="7F7F7F" w:fill="7F7F7F" w:themeFill="text1" w:themeFillTint="80"/>
      </w:tcPr>
    </w:tblStylePr>
    <w:tblStylePr w:type="band1Vert">
      <w:rPr>
        <w:sz w:val="22"/>
      </w:rPr>
    </w:tblStylePr>
    <w:tblStylePr w:type="band2Vert">
      <w:rPr>
        <w:sz w:val="22"/>
      </w:rPr>
      <w:tblPr/>
      <w:tcPr>
        <w:shd w:val="clear" w:color="F2F2F2" w:fill="F2F2F2" w:themeFill="text1" w:themeFillTint="0D"/>
      </w:tcPr>
    </w:tblStylePr>
    <w:tblStylePr w:type="band1Horz">
      <w:rPr>
        <w:sz w:val="22"/>
      </w:rPr>
    </w:tblStylePr>
    <w:tblStylePr w:type="band2Horz">
      <w:rPr>
        <w:sz w:val="22"/>
      </w:rPr>
      <w:tblPr/>
      <w:tcPr>
        <w:shd w:val="clear" w:color="F2F2F2" w:fill="F2F2F2" w:themeFill="text1" w:themeFillTint="0D"/>
      </w:tcPr>
    </w:tblStylePr>
  </w:style>
  <w:style w:type="table" w:customStyle="1" w:styleId="BorderedLined-Accent1">
    <w:name w:val="Bordered &amp; Lined - Accent 1"/>
    <w:basedOn w:val="TableNormal"/>
    <w:uiPriority w:val="99"/>
    <w:rPr>
      <w:sz w:val="20"/>
      <w:szCs w:val="20"/>
    </w:r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insideH w:val="single" w:sz="4" w:space="0" w:color="156082" w:themeColor="accent1"/>
        <w:insideV w:val="single" w:sz="4" w:space="0" w:color="156082" w:themeColor="accent1"/>
      </w:tblBorders>
    </w:tblPr>
    <w:tblStylePr w:type="firstRow">
      <w:rPr>
        <w:sz w:val="22"/>
      </w:rPr>
      <w:tblPr/>
      <w:tcPr>
        <w:shd w:val="clear" w:color="19729B" w:fill="19729B" w:themeFill="accent1" w:themeFillTint="EA"/>
      </w:tcPr>
    </w:tblStylePr>
    <w:tblStylePr w:type="lastRow">
      <w:rPr>
        <w:sz w:val="22"/>
      </w:rPr>
      <w:tblPr/>
      <w:tcPr>
        <w:shd w:val="clear" w:color="19729B" w:fill="19729B" w:themeFill="accent1" w:themeFillTint="EA"/>
      </w:tcPr>
    </w:tblStylePr>
    <w:tblStylePr w:type="firstCol">
      <w:rPr>
        <w:sz w:val="22"/>
      </w:rPr>
      <w:tblPr/>
      <w:tcPr>
        <w:shd w:val="clear" w:color="19729B" w:fill="19729B" w:themeFill="accent1" w:themeFillTint="EA"/>
      </w:tcPr>
    </w:tblStylePr>
    <w:tblStylePr w:type="lastCol">
      <w:rPr>
        <w:sz w:val="22"/>
      </w:rPr>
      <w:tblPr/>
      <w:tcPr>
        <w:shd w:val="clear" w:color="19729B" w:fill="19729B" w:themeFill="accent1" w:themeFillTint="EA"/>
      </w:tcPr>
    </w:tblStylePr>
    <w:tblStylePr w:type="band1Vert">
      <w:rPr>
        <w:sz w:val="22"/>
      </w:rPr>
    </w:tblStylePr>
    <w:tblStylePr w:type="band2Vert">
      <w:rPr>
        <w:sz w:val="22"/>
      </w:rPr>
      <w:tblPr/>
      <w:tcPr>
        <w:shd w:val="clear" w:color="9ED5EF" w:fill="9ED5EF" w:themeFill="accent1" w:themeFillTint="50"/>
      </w:tcPr>
    </w:tblStylePr>
    <w:tblStylePr w:type="band1Horz">
      <w:rPr>
        <w:sz w:val="22"/>
      </w:rPr>
    </w:tblStylePr>
    <w:tblStylePr w:type="band2Horz">
      <w:rPr>
        <w:sz w:val="22"/>
      </w:rPr>
      <w:tblPr/>
      <w:tcPr>
        <w:shd w:val="clear" w:color="9ED5EF" w:fill="9ED5EF" w:themeFill="accent1" w:themeFillTint="50"/>
      </w:tcPr>
    </w:tblStylePr>
  </w:style>
  <w:style w:type="table" w:customStyle="1" w:styleId="BorderedLined-Accent2">
    <w:name w:val="Bordered &amp; Lined - Accent 2"/>
    <w:basedOn w:val="TableNormal"/>
    <w:uiPriority w:val="99"/>
    <w:rPr>
      <w:sz w:val="20"/>
      <w:szCs w:val="20"/>
    </w:rPr>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insideH w:val="single" w:sz="4" w:space="0" w:color="E97132" w:themeColor="accent2"/>
        <w:insideV w:val="single" w:sz="4" w:space="0" w:color="E97132" w:themeColor="accent2"/>
      </w:tblBorders>
    </w:tblPr>
    <w:tblStylePr w:type="firstRow">
      <w:rPr>
        <w:sz w:val="22"/>
      </w:rPr>
      <w:tblPr/>
      <w:tcPr>
        <w:shd w:val="clear" w:color="F2AA85" w:fill="F2AA85" w:themeFill="accent2" w:themeFillTint="97"/>
      </w:tcPr>
    </w:tblStylePr>
    <w:tblStylePr w:type="lastRow">
      <w:rPr>
        <w:sz w:val="22"/>
      </w:rPr>
      <w:tblPr/>
      <w:tcPr>
        <w:shd w:val="clear" w:color="F2AA85" w:fill="F2AA85" w:themeFill="accent2" w:themeFillTint="97"/>
      </w:tcPr>
    </w:tblStylePr>
    <w:tblStylePr w:type="firstCol">
      <w:rPr>
        <w:sz w:val="22"/>
      </w:rPr>
      <w:tblPr/>
      <w:tcPr>
        <w:shd w:val="clear" w:color="F2AA85" w:fill="F2AA85" w:themeFill="accent2" w:themeFillTint="97"/>
      </w:tcPr>
    </w:tblStylePr>
    <w:tblStylePr w:type="lastCol">
      <w:rPr>
        <w:sz w:val="22"/>
      </w:rPr>
      <w:tblPr/>
      <w:tcPr>
        <w:shd w:val="clear" w:color="F2AA85" w:fill="F2AA85" w:themeFill="accent2" w:themeFillTint="97"/>
      </w:tcPr>
    </w:tblStylePr>
    <w:tblStylePr w:type="band1Vert">
      <w:rPr>
        <w:sz w:val="22"/>
      </w:rPr>
    </w:tblStylePr>
    <w:tblStylePr w:type="band2Vert">
      <w:rPr>
        <w:sz w:val="22"/>
      </w:rPr>
      <w:tblPr/>
      <w:tcPr>
        <w:shd w:val="clear" w:color="FAE2D6" w:fill="FAE2D6" w:themeFill="accent2" w:themeFillTint="32"/>
      </w:tcPr>
    </w:tblStylePr>
    <w:tblStylePr w:type="band1Horz">
      <w:rPr>
        <w:sz w:val="22"/>
      </w:rPr>
    </w:tblStylePr>
    <w:tblStylePr w:type="band2Horz">
      <w:rPr>
        <w:sz w:val="22"/>
      </w:rPr>
      <w:tblPr/>
      <w:tcPr>
        <w:shd w:val="clear" w:color="FAE2D6" w:fill="FAE2D6" w:themeFill="accent2" w:themeFillTint="32"/>
      </w:tcPr>
    </w:tblStylePr>
  </w:style>
  <w:style w:type="table" w:customStyle="1" w:styleId="BorderedLined-Accent3">
    <w:name w:val="Bordered &amp; Lined - Accent 3"/>
    <w:basedOn w:val="TableNormal"/>
    <w:uiPriority w:val="99"/>
    <w:rPr>
      <w:sz w:val="20"/>
      <w:szCs w:val="20"/>
    </w:r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insideH w:val="single" w:sz="4" w:space="0" w:color="196B24" w:themeColor="accent3"/>
        <w:insideV w:val="single" w:sz="4" w:space="0" w:color="196B24" w:themeColor="accent3"/>
      </w:tblBorders>
    </w:tblPr>
    <w:tblStylePr w:type="firstRow">
      <w:rPr>
        <w:sz w:val="22"/>
      </w:rPr>
      <w:tblPr/>
      <w:tcPr>
        <w:shd w:val="clear" w:color="196C24" w:fill="196C24" w:themeFill="accent3" w:themeFillTint="FE"/>
      </w:tcPr>
    </w:tblStylePr>
    <w:tblStylePr w:type="lastRow">
      <w:rPr>
        <w:sz w:val="22"/>
      </w:rPr>
      <w:tblPr/>
      <w:tcPr>
        <w:shd w:val="clear" w:color="196C24" w:fill="196C24" w:themeFill="accent3" w:themeFillTint="FE"/>
      </w:tcPr>
    </w:tblStylePr>
    <w:tblStylePr w:type="firstCol">
      <w:rPr>
        <w:sz w:val="22"/>
      </w:rPr>
      <w:tblPr/>
      <w:tcPr>
        <w:shd w:val="clear" w:color="196C24" w:fill="196C24" w:themeFill="accent3" w:themeFillTint="FE"/>
      </w:tcPr>
    </w:tblStylePr>
    <w:tblStylePr w:type="lastCol">
      <w:rPr>
        <w:sz w:val="22"/>
      </w:rPr>
      <w:tblPr/>
      <w:tcPr>
        <w:shd w:val="clear" w:color="196C24" w:fill="196C24" w:themeFill="accent3" w:themeFillTint="FE"/>
      </w:tcPr>
    </w:tblStylePr>
    <w:tblStylePr w:type="band1Vert">
      <w:rPr>
        <w:sz w:val="22"/>
      </w:rPr>
    </w:tblStylePr>
    <w:tblStylePr w:type="band2Vert">
      <w:rPr>
        <w:sz w:val="22"/>
      </w:rPr>
      <w:tblPr/>
      <w:tcPr>
        <w:shd w:val="clear" w:color="C0F0C6" w:fill="C0F0C6" w:themeFill="accent3" w:themeFillTint="34"/>
      </w:tcPr>
    </w:tblStylePr>
    <w:tblStylePr w:type="band1Horz">
      <w:rPr>
        <w:sz w:val="22"/>
      </w:rPr>
    </w:tblStylePr>
    <w:tblStylePr w:type="band2Horz">
      <w:rPr>
        <w:sz w:val="22"/>
      </w:rPr>
      <w:tblPr/>
      <w:tcPr>
        <w:shd w:val="clear" w:color="C0F0C6" w:fill="C0F0C6" w:themeFill="accent3" w:themeFillTint="34"/>
      </w:tcPr>
    </w:tblStylePr>
  </w:style>
  <w:style w:type="table" w:customStyle="1" w:styleId="BorderedLined-Accent4">
    <w:name w:val="Bordered &amp; Lined - Accent 4"/>
    <w:basedOn w:val="TableNormal"/>
    <w:uiPriority w:val="99"/>
    <w:rPr>
      <w:sz w:val="20"/>
      <w:szCs w:val="20"/>
    </w:r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insideH w:val="single" w:sz="4" w:space="0" w:color="0F9ED5" w:themeColor="accent4"/>
        <w:insideV w:val="single" w:sz="4" w:space="0" w:color="0F9ED5" w:themeColor="accent4"/>
      </w:tblBorders>
    </w:tblPr>
    <w:tblStylePr w:type="firstRow">
      <w:rPr>
        <w:sz w:val="22"/>
      </w:rPr>
      <w:tblPr/>
      <w:tcPr>
        <w:shd w:val="clear" w:color="5FCAF3" w:fill="5FCAF3" w:themeFill="accent4" w:themeFillTint="9A"/>
      </w:tcPr>
    </w:tblStylePr>
    <w:tblStylePr w:type="lastRow">
      <w:rPr>
        <w:sz w:val="22"/>
      </w:rPr>
      <w:tblPr/>
      <w:tcPr>
        <w:shd w:val="clear" w:color="5FCAF3" w:fill="5FCAF3" w:themeFill="accent4" w:themeFillTint="9A"/>
      </w:tcPr>
    </w:tblStylePr>
    <w:tblStylePr w:type="firstCol">
      <w:rPr>
        <w:sz w:val="22"/>
      </w:rPr>
      <w:tblPr/>
      <w:tcPr>
        <w:shd w:val="clear" w:color="5FCAF3" w:fill="5FCAF3" w:themeFill="accent4" w:themeFillTint="9A"/>
      </w:tcPr>
    </w:tblStylePr>
    <w:tblStylePr w:type="lastCol">
      <w:rPr>
        <w:sz w:val="22"/>
      </w:rPr>
      <w:tblPr/>
      <w:tcPr>
        <w:shd w:val="clear" w:color="5FCAF3" w:fill="5FCAF3" w:themeFill="accent4" w:themeFillTint="9A"/>
      </w:tcPr>
    </w:tblStylePr>
    <w:tblStylePr w:type="band1Vert">
      <w:rPr>
        <w:sz w:val="22"/>
      </w:rPr>
    </w:tblStylePr>
    <w:tblStylePr w:type="band2Vert">
      <w:rPr>
        <w:sz w:val="22"/>
      </w:rPr>
      <w:tblPr/>
      <w:tcPr>
        <w:shd w:val="clear" w:color="C9EDFB" w:fill="C9EDFB" w:themeFill="accent4" w:themeFillTint="34"/>
      </w:tcPr>
    </w:tblStylePr>
    <w:tblStylePr w:type="band1Horz">
      <w:rPr>
        <w:sz w:val="22"/>
      </w:rPr>
    </w:tblStylePr>
    <w:tblStylePr w:type="band2Horz">
      <w:rPr>
        <w:sz w:val="22"/>
      </w:rPr>
      <w:tblPr/>
      <w:tcPr>
        <w:shd w:val="clear" w:color="C9EDFB" w:fill="C9EDFB" w:themeFill="accent4" w:themeFillTint="34"/>
      </w:tcPr>
    </w:tblStylePr>
  </w:style>
  <w:style w:type="table" w:customStyle="1" w:styleId="BorderedLined-Accent5">
    <w:name w:val="Bordered &amp; Lined - Accent 5"/>
    <w:basedOn w:val="TableNormal"/>
    <w:uiPriority w:val="99"/>
    <w:rPr>
      <w:sz w:val="20"/>
      <w:szCs w:val="20"/>
    </w:r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insideH w:val="single" w:sz="4" w:space="0" w:color="A02B93" w:themeColor="accent5"/>
        <w:insideV w:val="single" w:sz="4" w:space="0" w:color="A02B93" w:themeColor="accent5"/>
      </w:tblBorders>
    </w:tblPr>
    <w:tblStylePr w:type="firstRow">
      <w:rPr>
        <w:sz w:val="22"/>
      </w:rPr>
      <w:tblPr/>
      <w:tcPr>
        <w:shd w:val="clear" w:color="A02B93" w:fill="A02B93" w:themeFill="accent5"/>
      </w:tcPr>
    </w:tblStylePr>
    <w:tblStylePr w:type="lastRow">
      <w:rPr>
        <w:sz w:val="22"/>
      </w:rPr>
      <w:tblPr/>
      <w:tcPr>
        <w:shd w:val="clear" w:color="A02B93" w:fill="A02B93" w:themeFill="accent5"/>
      </w:tcPr>
    </w:tblStylePr>
    <w:tblStylePr w:type="firstCol">
      <w:rPr>
        <w:sz w:val="22"/>
      </w:rPr>
      <w:tblPr/>
      <w:tcPr>
        <w:shd w:val="clear" w:color="A02B93" w:fill="A02B93" w:themeFill="accent5"/>
      </w:tcPr>
    </w:tblStylePr>
    <w:tblStylePr w:type="lastCol">
      <w:rPr>
        <w:sz w:val="22"/>
      </w:rPr>
      <w:tblPr/>
      <w:tcPr>
        <w:shd w:val="clear" w:color="A02B93" w:fill="A02B93" w:themeFill="accent5"/>
      </w:tcPr>
    </w:tblStylePr>
    <w:tblStylePr w:type="band1Vert">
      <w:rPr>
        <w:sz w:val="22"/>
      </w:rPr>
    </w:tblStylePr>
    <w:tblStylePr w:type="band2Vert">
      <w:rPr>
        <w:sz w:val="22"/>
      </w:rPr>
      <w:tblPr/>
      <w:tcPr>
        <w:shd w:val="clear" w:color="F1CDED" w:fill="F1CDED" w:themeFill="accent5" w:themeFillTint="34"/>
      </w:tcPr>
    </w:tblStylePr>
    <w:tblStylePr w:type="band1Horz">
      <w:rPr>
        <w:sz w:val="22"/>
      </w:rPr>
    </w:tblStylePr>
    <w:tblStylePr w:type="band2Horz">
      <w:rPr>
        <w:sz w:val="22"/>
      </w:rPr>
      <w:tblPr/>
      <w:tcPr>
        <w:shd w:val="clear" w:color="F1CDED" w:fill="F1CDED" w:themeFill="accent5" w:themeFillTint="34"/>
      </w:tcPr>
    </w:tblStylePr>
  </w:style>
  <w:style w:type="table" w:customStyle="1" w:styleId="BorderedLined-Accent6">
    <w:name w:val="Bordered &amp; Lined - Accent 6"/>
    <w:basedOn w:val="TableNormal"/>
    <w:uiPriority w:val="99"/>
    <w:rPr>
      <w:sz w:val="20"/>
      <w:szCs w:val="20"/>
    </w:r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insideH w:val="single" w:sz="4" w:space="0" w:color="4EA72E" w:themeColor="accent6"/>
        <w:insideV w:val="single" w:sz="4" w:space="0" w:color="4EA72E" w:themeColor="accent6"/>
      </w:tblBorders>
    </w:tblPr>
    <w:tblStylePr w:type="firstRow">
      <w:rPr>
        <w:sz w:val="22"/>
      </w:rPr>
      <w:tblPr/>
      <w:tcPr>
        <w:shd w:val="clear" w:color="4EA72E" w:fill="4EA72E" w:themeFill="accent6"/>
      </w:tcPr>
    </w:tblStylePr>
    <w:tblStylePr w:type="lastRow">
      <w:rPr>
        <w:sz w:val="22"/>
      </w:rPr>
      <w:tblPr/>
      <w:tcPr>
        <w:shd w:val="clear" w:color="4EA72E" w:fill="4EA72E" w:themeFill="accent6"/>
      </w:tcPr>
    </w:tblStylePr>
    <w:tblStylePr w:type="firstCol">
      <w:rPr>
        <w:sz w:val="22"/>
      </w:rPr>
      <w:tblPr/>
      <w:tcPr>
        <w:shd w:val="clear" w:color="4EA72E" w:fill="4EA72E" w:themeFill="accent6"/>
      </w:tcPr>
    </w:tblStylePr>
    <w:tblStylePr w:type="lastCol">
      <w:rPr>
        <w:sz w:val="22"/>
      </w:rPr>
      <w:tblPr/>
      <w:tcPr>
        <w:shd w:val="clear" w:color="4EA72E" w:fill="4EA72E" w:themeFill="accent6"/>
      </w:tcPr>
    </w:tblStylePr>
    <w:tblStylePr w:type="band1Vert">
      <w:rPr>
        <w:sz w:val="22"/>
      </w:rPr>
    </w:tblStylePr>
    <w:tblStylePr w:type="band2Vert">
      <w:rPr>
        <w:sz w:val="22"/>
      </w:rPr>
      <w:tblPr/>
      <w:tcPr>
        <w:shd w:val="clear" w:color="D8F2CF" w:fill="D8F2CF" w:themeFill="accent6" w:themeFillTint="34"/>
      </w:tcPr>
    </w:tblStylePr>
    <w:tblStylePr w:type="band1Horz">
      <w:rPr>
        <w:sz w:val="22"/>
      </w:rPr>
    </w:tblStylePr>
    <w:tblStylePr w:type="band2Horz">
      <w:rPr>
        <w:sz w:val="22"/>
      </w:rPr>
      <w:tblPr/>
      <w:tcPr>
        <w:shd w:val="clear" w:color="D8F2CF" w:fill="D8F2CF" w:themeFill="accent6" w:themeFillTint="34"/>
      </w:tcPr>
    </w:tblStylePr>
  </w:style>
  <w:style w:type="table" w:customStyle="1" w:styleId="Bordered">
    <w:name w:val="Bordered"/>
    <w:basedOn w:val="Table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sz w:val="22"/>
      </w:rPr>
      <w:tblPr/>
      <w:tcPr>
        <w:tcBorders>
          <w:bottom w:val="single" w:sz="12" w:space="0" w:color="000000" w:themeColor="text1"/>
        </w:tcBorders>
      </w:tcPr>
    </w:tblStylePr>
    <w:tblStylePr w:type="lastRow">
      <w:rPr>
        <w:sz w:val="22"/>
      </w:rPr>
      <w:tblPr/>
      <w:tcPr>
        <w:tcBorders>
          <w:top w:val="single" w:sz="12" w:space="0" w:color="000000" w:themeColor="text1"/>
        </w:tcBorders>
      </w:tcPr>
    </w:tblStylePr>
    <w:tblStylePr w:type="firstCol">
      <w:rPr>
        <w:sz w:val="22"/>
      </w:rPr>
    </w:tblStylePr>
    <w:tblStylePr w:type="lastCol">
      <w:rPr>
        <w:sz w:val="22"/>
      </w:rPr>
      <w:tblPr/>
      <w:tcPr>
        <w:tcBorders>
          <w:left w:val="single" w:sz="12" w:space="0" w:color="000000" w:themeColor="text1"/>
        </w:tcBorders>
      </w:tcPr>
    </w:tblStylePr>
    <w:tblStylePr w:type="band1Horz">
      <w:rPr>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Bordered-Accent1">
    <w:name w:val="Bordered - Accent 1"/>
    <w:basedOn w:val="TableNormal"/>
    <w:uiPriority w:val="99"/>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sz w:val="22"/>
      </w:rPr>
      <w:tblPr/>
      <w:tcPr>
        <w:tcBorders>
          <w:bottom w:val="single" w:sz="12" w:space="0" w:color="156082" w:themeColor="accent1"/>
        </w:tcBorders>
      </w:tcPr>
    </w:tblStylePr>
    <w:tblStylePr w:type="lastRow">
      <w:rPr>
        <w:sz w:val="22"/>
      </w:rPr>
      <w:tblPr/>
      <w:tcPr>
        <w:tcBorders>
          <w:top w:val="single" w:sz="12" w:space="0" w:color="156082" w:themeColor="accent1"/>
        </w:tcBorders>
      </w:tcPr>
    </w:tblStylePr>
    <w:tblStylePr w:type="firstCol">
      <w:rPr>
        <w:sz w:val="22"/>
      </w:rPr>
    </w:tblStylePr>
    <w:tblStylePr w:type="lastCol">
      <w:rPr>
        <w:sz w:val="22"/>
      </w:rPr>
      <w:tblPr/>
      <w:tcPr>
        <w:tcBorders>
          <w:left w:val="single" w:sz="12" w:space="0" w:color="156082" w:themeColor="accent1"/>
        </w:tcBorders>
      </w:tcPr>
    </w:tblStylePr>
    <w:tblStylePr w:type="band1Horz">
      <w:rPr>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tcBorders>
      </w:tcPr>
    </w:tblStylePr>
  </w:style>
  <w:style w:type="table" w:customStyle="1" w:styleId="Bordered-Accent2">
    <w:name w:val="Bordered - Accent 2"/>
    <w:basedOn w:val="TableNormal"/>
    <w:uiPriority w:val="99"/>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sz w:val="22"/>
      </w:rPr>
      <w:tblPr/>
      <w:tcPr>
        <w:tcBorders>
          <w:bottom w:val="single" w:sz="12" w:space="0" w:color="E97132" w:themeColor="accent2"/>
        </w:tcBorders>
      </w:tcPr>
    </w:tblStylePr>
    <w:tblStylePr w:type="lastRow">
      <w:rPr>
        <w:sz w:val="22"/>
      </w:rPr>
      <w:tblPr/>
      <w:tcPr>
        <w:tcBorders>
          <w:top w:val="single" w:sz="12" w:space="0" w:color="E97132" w:themeColor="accent2"/>
        </w:tcBorders>
      </w:tcPr>
    </w:tblStylePr>
    <w:tblStylePr w:type="firstCol">
      <w:rPr>
        <w:sz w:val="22"/>
      </w:rPr>
    </w:tblStylePr>
    <w:tblStylePr w:type="lastCol">
      <w:rPr>
        <w:sz w:val="22"/>
      </w:rPr>
      <w:tblPr/>
      <w:tcPr>
        <w:tcBorders>
          <w:left w:val="single" w:sz="12" w:space="0" w:color="E97132" w:themeColor="accent2"/>
        </w:tcBorders>
      </w:tcPr>
    </w:tblStylePr>
    <w:tblStylePr w:type="band1Horz">
      <w:rPr>
        <w:sz w:val="22"/>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tcBorders>
      </w:tcPr>
    </w:tblStylePr>
  </w:style>
  <w:style w:type="table" w:customStyle="1" w:styleId="Bordered-Accent3">
    <w:name w:val="Bordered - Accent 3"/>
    <w:basedOn w:val="TableNormal"/>
    <w:uiPriority w:val="99"/>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sz w:val="22"/>
      </w:rPr>
      <w:tblPr/>
      <w:tcPr>
        <w:tcBorders>
          <w:bottom w:val="single" w:sz="12" w:space="0" w:color="196B24" w:themeColor="accent3"/>
        </w:tcBorders>
      </w:tcPr>
    </w:tblStylePr>
    <w:tblStylePr w:type="lastRow">
      <w:rPr>
        <w:sz w:val="22"/>
      </w:rPr>
      <w:tblPr/>
      <w:tcPr>
        <w:tcBorders>
          <w:top w:val="single" w:sz="12" w:space="0" w:color="196B24" w:themeColor="accent3"/>
        </w:tcBorders>
      </w:tcPr>
    </w:tblStylePr>
    <w:tblStylePr w:type="firstCol">
      <w:rPr>
        <w:sz w:val="22"/>
      </w:rPr>
    </w:tblStylePr>
    <w:tblStylePr w:type="lastCol">
      <w:rPr>
        <w:sz w:val="22"/>
      </w:rPr>
      <w:tblPr/>
      <w:tcPr>
        <w:tcBorders>
          <w:left w:val="single" w:sz="12" w:space="0" w:color="196B24" w:themeColor="accent3"/>
        </w:tcBorders>
      </w:tcPr>
    </w:tblStylePr>
    <w:tblStylePr w:type="band1Horz">
      <w:rPr>
        <w:sz w:val="22"/>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tcBorders>
      </w:tcPr>
    </w:tblStylePr>
  </w:style>
  <w:style w:type="table" w:customStyle="1" w:styleId="Bordered-Accent4">
    <w:name w:val="Bordered - Accent 4"/>
    <w:basedOn w:val="TableNormal"/>
    <w:uiPriority w:val="99"/>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sz w:val="22"/>
      </w:rPr>
      <w:tblPr/>
      <w:tcPr>
        <w:tcBorders>
          <w:bottom w:val="single" w:sz="12" w:space="0" w:color="0F9ED5" w:themeColor="accent4"/>
        </w:tcBorders>
      </w:tcPr>
    </w:tblStylePr>
    <w:tblStylePr w:type="lastRow">
      <w:rPr>
        <w:sz w:val="22"/>
      </w:rPr>
      <w:tblPr/>
      <w:tcPr>
        <w:tcBorders>
          <w:top w:val="single" w:sz="12" w:space="0" w:color="0F9ED5" w:themeColor="accent4"/>
        </w:tcBorders>
      </w:tcPr>
    </w:tblStylePr>
    <w:tblStylePr w:type="firstCol">
      <w:rPr>
        <w:sz w:val="22"/>
      </w:rPr>
    </w:tblStylePr>
    <w:tblStylePr w:type="lastCol">
      <w:rPr>
        <w:sz w:val="22"/>
      </w:rPr>
      <w:tblPr/>
      <w:tcPr>
        <w:tcBorders>
          <w:left w:val="single" w:sz="12" w:space="0" w:color="0F9ED5" w:themeColor="accent4"/>
        </w:tcBorders>
      </w:tcPr>
    </w:tblStylePr>
    <w:tblStylePr w:type="band1Horz">
      <w:rPr>
        <w:sz w:val="22"/>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tcBorders>
      </w:tcPr>
    </w:tblStylePr>
  </w:style>
  <w:style w:type="table" w:customStyle="1" w:styleId="Bordered-Accent5">
    <w:name w:val="Bordered - Accent 5"/>
    <w:basedOn w:val="TableNormal"/>
    <w:uiPriority w:val="99"/>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sz w:val="22"/>
      </w:rPr>
      <w:tblPr/>
      <w:tcPr>
        <w:tcBorders>
          <w:bottom w:val="single" w:sz="12" w:space="0" w:color="A02B93" w:themeColor="accent5"/>
        </w:tcBorders>
      </w:tcPr>
    </w:tblStylePr>
    <w:tblStylePr w:type="lastRow">
      <w:rPr>
        <w:sz w:val="22"/>
      </w:rPr>
      <w:tblPr/>
      <w:tcPr>
        <w:tcBorders>
          <w:top w:val="single" w:sz="12" w:space="0" w:color="A02B93" w:themeColor="accent5"/>
        </w:tcBorders>
      </w:tcPr>
    </w:tblStylePr>
    <w:tblStylePr w:type="firstCol">
      <w:rPr>
        <w:sz w:val="22"/>
      </w:rPr>
    </w:tblStylePr>
    <w:tblStylePr w:type="lastCol">
      <w:rPr>
        <w:sz w:val="22"/>
      </w:rPr>
      <w:tblPr/>
      <w:tcPr>
        <w:tcBorders>
          <w:left w:val="single" w:sz="12" w:space="0" w:color="A02B93" w:themeColor="accent5"/>
        </w:tcBorders>
      </w:tcPr>
    </w:tblStylePr>
    <w:tblStylePr w:type="band1Horz">
      <w:rPr>
        <w:sz w:val="22"/>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tcBorders>
      </w:tcPr>
    </w:tblStylePr>
  </w:style>
  <w:style w:type="table" w:customStyle="1" w:styleId="Bordered-Accent6">
    <w:name w:val="Bordered - Accent 6"/>
    <w:basedOn w:val="TableNormal"/>
    <w:uiPriority w:val="99"/>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sz w:val="22"/>
      </w:rPr>
      <w:tblPr/>
      <w:tcPr>
        <w:tcBorders>
          <w:bottom w:val="single" w:sz="12" w:space="0" w:color="4EA72E" w:themeColor="accent6"/>
        </w:tcBorders>
      </w:tcPr>
    </w:tblStylePr>
    <w:tblStylePr w:type="lastRow">
      <w:rPr>
        <w:sz w:val="22"/>
      </w:rPr>
      <w:tblPr/>
      <w:tcPr>
        <w:tcBorders>
          <w:top w:val="single" w:sz="12" w:space="0" w:color="4EA72E" w:themeColor="accent6"/>
        </w:tcBorders>
      </w:tcPr>
    </w:tblStylePr>
    <w:tblStylePr w:type="firstCol">
      <w:rPr>
        <w:sz w:val="22"/>
      </w:rPr>
    </w:tblStylePr>
    <w:tblStylePr w:type="lastCol">
      <w:rPr>
        <w:sz w:val="22"/>
      </w:rPr>
      <w:tblPr/>
      <w:tcPr>
        <w:tcBorders>
          <w:left w:val="single" w:sz="12" w:space="0" w:color="4EA72E" w:themeColor="accent6"/>
        </w:tcBorders>
      </w:tcPr>
    </w:tblStylePr>
    <w:tblStylePr w:type="band1Horz">
      <w:rPr>
        <w:sz w:val="22"/>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tcBorders>
      </w:tcPr>
    </w:tblStylePr>
  </w:style>
  <w:style w:type="table" w:styleId="TableGrid">
    <w:name w:val="Table Grid"/>
    <w:basedOn w:val="TableNormal"/>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
    <w:name w:val="Table"/>
    <w:semiHidden/>
    <w:unhideWhenUsed/>
    <w:qFormat/>
    <w:rsid w:val="00D57DF7"/>
    <w:pPr>
      <w:spacing w:after="200"/>
    </w:pPr>
    <w:rPr>
      <w:sz w:val="24"/>
      <w:szCs w:val="24"/>
      <w:lang w:eastAsia="ja-JP"/>
      <w14:ligatures w14:val="none"/>
    </w:rPr>
    <w:tblPr>
      <w:tblCellMar>
        <w:top w:w="0" w:type="dxa"/>
        <w:left w:w="108" w:type="dxa"/>
        <w:bottom w:w="0" w:type="dxa"/>
        <w:right w:w="108" w:type="dxa"/>
      </w:tblCellMar>
    </w:tblPr>
    <w:tblStylePr w:type="firstRow">
      <w:tblPr/>
      <w:tcPr>
        <w:tcBorders>
          <w:bottom w:val="single" w:sz="0" w:space="0" w:color="auto"/>
        </w:tcBorders>
        <w:vAlign w:val="bottom"/>
      </w:tcPr>
    </w:tblStylePr>
  </w:style>
  <w:style w:type="paragraph" w:customStyle="1" w:styleId="p1">
    <w:name w:val="p1"/>
    <w:basedOn w:val="Normal"/>
    <w:rsid w:val="004F5B40"/>
    <w:pPr>
      <w:suppressAutoHyphens w:val="0"/>
      <w:spacing w:after="0" w:line="240" w:lineRule="auto"/>
    </w:pPr>
    <w:rPr>
      <w:rFonts w:ascii="Helvetica" w:eastAsia="Times New Roman" w:hAnsi="Helvetica" w:cs="Times New Roman"/>
      <w:color w:val="063C88"/>
      <w:sz w:val="33"/>
      <w:szCs w:val="33"/>
      <w14:ligatures w14:val="none"/>
    </w:rPr>
  </w:style>
  <w:style w:type="paragraph" w:customStyle="1" w:styleId="p2">
    <w:name w:val="p2"/>
    <w:basedOn w:val="Normal"/>
    <w:rsid w:val="004F5B40"/>
    <w:pPr>
      <w:suppressAutoHyphens w:val="0"/>
      <w:spacing w:after="0" w:line="240" w:lineRule="auto"/>
    </w:pPr>
    <w:rPr>
      <w:rFonts w:ascii="Helvetica" w:eastAsia="Times New Roman" w:hAnsi="Helvetica" w:cs="Times New Roman"/>
      <w:color w:val="C72827"/>
      <w:sz w:val="48"/>
      <w:szCs w:val="48"/>
      <w14:ligatures w14:val="none"/>
    </w:rPr>
  </w:style>
  <w:style w:type="paragraph" w:customStyle="1" w:styleId="p3">
    <w:name w:val="p3"/>
    <w:basedOn w:val="Normal"/>
    <w:rsid w:val="004F5B40"/>
    <w:pPr>
      <w:suppressAutoHyphens w:val="0"/>
      <w:spacing w:after="0" w:line="240" w:lineRule="auto"/>
    </w:pPr>
    <w:rPr>
      <w:rFonts w:ascii="Helvetica" w:eastAsia="Times New Roman" w:hAnsi="Helvetica" w:cs="Times New Roman"/>
      <w:color w:val="C72827"/>
      <w:sz w:val="27"/>
      <w:szCs w:val="27"/>
      <w14:ligatures w14:val="none"/>
    </w:rPr>
  </w:style>
  <w:style w:type="paragraph" w:customStyle="1" w:styleId="p4">
    <w:name w:val="p4"/>
    <w:basedOn w:val="Normal"/>
    <w:rsid w:val="004F5B40"/>
    <w:pPr>
      <w:suppressAutoHyphens w:val="0"/>
      <w:spacing w:after="0" w:line="240" w:lineRule="auto"/>
    </w:pPr>
    <w:rPr>
      <w:rFonts w:ascii="Helvetica" w:eastAsia="Times New Roman" w:hAnsi="Helvetica" w:cs="Times New Roman"/>
      <w:color w:val="C72827"/>
      <w:sz w:val="26"/>
      <w:szCs w:val="26"/>
      <w14:ligatures w14:val="none"/>
    </w:rPr>
  </w:style>
  <w:style w:type="character" w:customStyle="1" w:styleId="s1">
    <w:name w:val="s1"/>
    <w:basedOn w:val="DefaultParagraphFont"/>
    <w:rsid w:val="004F5B40"/>
    <w:rPr>
      <w:rFonts w:ascii="Helvetica" w:hAnsi="Helvetica" w:hint="default"/>
      <w:sz w:val="35"/>
      <w:szCs w:val="35"/>
    </w:rPr>
  </w:style>
  <w:style w:type="character" w:customStyle="1" w:styleId="s2">
    <w:name w:val="s2"/>
    <w:basedOn w:val="DefaultParagraphFont"/>
    <w:rsid w:val="004F5B40"/>
    <w:rPr>
      <w:rFonts w:ascii="Helvetica" w:hAnsi="Helvetica" w:hint="default"/>
      <w:sz w:val="39"/>
      <w:szCs w:val="39"/>
    </w:rPr>
  </w:style>
  <w:style w:type="paragraph" w:customStyle="1" w:styleId="xxxmsolistparagraph">
    <w:name w:val="xxxmsolistparagraph"/>
    <w:basedOn w:val="Normal"/>
    <w:rsid w:val="003E163D"/>
    <w:pPr>
      <w:suppressAutoHyphens w:val="0"/>
      <w:spacing w:before="100" w:beforeAutospacing="1" w:after="100" w:afterAutospacing="1" w:line="240" w:lineRule="auto"/>
    </w:pPr>
    <w:rPr>
      <w:rFonts w:ascii="Times New Roman" w:eastAsia="Times New Roman" w:hAnsi="Times New Roman" w:cs="Times New Roman"/>
      <w:sz w:val="24"/>
      <w:szCs w:val="24"/>
      <w14:ligatures w14:val="none"/>
    </w:rPr>
  </w:style>
  <w:style w:type="character" w:styleId="Strong">
    <w:name w:val="Strong"/>
    <w:basedOn w:val="DefaultParagraphFont"/>
    <w:uiPriority w:val="22"/>
    <w:qFormat/>
    <w:rsid w:val="003B7D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055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177/0160323X0703900304" TargetMode="External"/><Relationship Id="rId13" Type="http://schemas.openxmlformats.org/officeDocument/2006/relationships/hyperlink" Target="https://doi.org/10.2307/1960866"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www.rrc.texas.gov/oil-and-gas/environmental-cleanup-programs/federally-funded-well-plugging/"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11/psj.12045" TargetMode="External"/><Relationship Id="rId5" Type="http://schemas.openxmlformats.org/officeDocument/2006/relationships/webSettings" Target="webSettings.xml"/><Relationship Id="rId15" Type="http://schemas.openxmlformats.org/officeDocument/2006/relationships/hyperlink" Target="https://doi.org/10.1111/puar.13156" TargetMode="External"/><Relationship Id="rId23" Type="http://schemas.openxmlformats.org/officeDocument/2006/relationships/theme" Target="theme/theme1.xml"/><Relationship Id="rId10" Type="http://schemas.openxmlformats.org/officeDocument/2006/relationships/hyperlink" Target="https://doi.org/10.1111/puar.13425"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doi.org/10.1111/puar.12189" TargetMode="External"/><Relationship Id="rId14" Type="http://schemas.openxmlformats.org/officeDocument/2006/relationships/hyperlink" Target="https://doi.org/10.3102/01623737019002185"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Arial"/>
        <a:cs typeface="Arial"/>
      </a:majorFont>
      <a:minorFont>
        <a:latin typeface="Aptos"/>
        <a:ea typeface="Arial"/>
        <a:cs typeface="Arial"/>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EC83FA-FA8D-49EF-AECF-0400DB465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14</Pages>
  <Words>3635</Words>
  <Characters>24548</Characters>
  <Application>Microsoft Office Word</Application>
  <DocSecurity>0</DocSecurity>
  <Lines>373</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Fisk</dc:creator>
  <dc:description/>
  <cp:lastModifiedBy>McKnight, Steven P</cp:lastModifiedBy>
  <cp:revision>14</cp:revision>
  <cp:lastPrinted>2024-06-19T23:16:00Z</cp:lastPrinted>
  <dcterms:created xsi:type="dcterms:W3CDTF">2025-09-15T19:07:00Z</dcterms:created>
  <dcterms:modified xsi:type="dcterms:W3CDTF">2025-10-24T21:42:00Z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zotero-version="7.0.24"&gt;&lt;session id="T8hi63VL"/&gt;&lt;style id="http://www.zotero.org/styles/chicago-author-date" locale="en-US" hasBibliography="1" bibliographyStyleHasBeenSet="1"/&gt;&lt;prefs&gt;&lt;pref name="fieldType" value="Field"/&gt;&lt;/prefs&gt;&lt;/</vt:lpwstr>
  </property>
  <property fmtid="{D5CDD505-2E9C-101B-9397-08002B2CF9AE}" pid="3" name="ZOTERO_PREF_2">
    <vt:lpwstr>data&gt;</vt:lpwstr>
  </property>
</Properties>
</file>