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spacing w:before="360" w:after="80"/>
        <w:rPr>
          <w:rFonts w:ascii="Liberation Serif" w:hAnsi="Liberation Serif"/>
        </w:rPr>
      </w:pPr>
      <w:bookmarkStart w:id="0" w:name="X45927b76577f605e136f8a6838070ee872ca322"/>
      <w:r>
        <w:rPr>
          <w:rFonts w:ascii="Liberation Serif" w:hAnsi="Liberation Serif"/>
        </w:rPr>
        <w:t>Appendix: Heterogeneous Enforcement of Transparency</w:t>
      </w:r>
    </w:p>
    <w:p>
      <w:pPr>
        <w:pStyle w:val="Heading2"/>
        <w:rPr>
          <w:rFonts w:ascii="Liberation Serif" w:hAnsi="Liberation Serif"/>
        </w:rPr>
      </w:pPr>
      <w:bookmarkStart w:id="1" w:name="Xa9a3597a1fcea1b124c530bd4c5f962a3203a77"/>
      <w:r>
        <w:rPr>
          <w:rFonts w:ascii="Liberation Serif" w:hAnsi="Liberation Serif"/>
        </w:rPr>
        <w:t>Evidence from the Texas Railroad Commission</w:t>
      </w:r>
      <w:bookmarkEnd w:id="1"/>
    </w:p>
    <w:p>
      <w:pPr>
        <w:pStyle w:val="Heading2"/>
        <w:rPr>
          <w:rFonts w:ascii="Liberation Serif" w:hAnsi="Liberation Serif"/>
        </w:rPr>
      </w:pPr>
      <w:r>
        <w:rPr>
          <w:rFonts w:ascii="Liberation Serif" w:hAnsi="Liberation Serif"/>
        </w:rPr>
        <w:t>Appendix A. Data Construction and Variables</w:t>
      </w:r>
    </w:p>
    <w:p>
      <w:pPr>
        <w:pStyle w:val="Heading3"/>
        <w:rPr>
          <w:rFonts w:ascii="Liberation Serif" w:hAnsi="Liberation Serif"/>
        </w:rPr>
      </w:pPr>
      <w:bookmarkStart w:id="2" w:name="a1.-data-integration"/>
      <w:r>
        <w:rPr>
          <w:rFonts w:ascii="Liberation Serif" w:hAnsi="Liberation Serif"/>
        </w:rPr>
        <w:t>A1. Data integration</w:t>
      </w:r>
    </w:p>
    <w:p>
      <w:pPr>
        <w:pStyle w:val="FirstParagraph"/>
        <w:rPr>
          <w:rFonts w:ascii="Liberation Serif" w:hAnsi="Liberation Serif"/>
        </w:rPr>
      </w:pPr>
      <w:bookmarkStart w:id="3" w:name="a1.-data-integration"/>
      <w:r>
        <w:rPr>
          <w:rFonts w:ascii="Liberation Serif" w:hAnsi="Liberation Serif"/>
        </w:rPr>
        <w:t>The analysis combines inspection and violation administrative records (2015-2025) into a district-year panel. The estimation sample contains 143 district-year observations across 13 districts (52 pre-policy; 91 post-policy). Well-level records are linked across sources prior to district-year aggregation.</w:t>
      </w:r>
      <w:bookmarkEnd w:id="3"/>
    </w:p>
    <w:p>
      <w:pPr>
        <w:pStyle w:val="Heading3"/>
        <w:rPr>
          <w:rFonts w:ascii="Liberation Serif" w:hAnsi="Liberation Serif"/>
        </w:rPr>
      </w:pPr>
      <w:bookmarkStart w:id="4" w:name="a1b.-pipeline-volume-and-sample-flow"/>
      <w:r>
        <w:rPr>
          <w:rFonts w:ascii="Liberation Serif" w:hAnsi="Liberation Serif"/>
        </w:rPr>
        <w:t>A1b. Pipeline volume and sample flow</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3960"/>
        <w:gridCol w:w="3960"/>
      </w:tblGrid>
      <w:tr>
        <w:trPr>
          <w:tblHeader w:val="true"/>
        </w:trPr>
        <w:tc>
          <w:tcPr>
            <w:tcW w:w="396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Stage</w:t>
            </w:r>
          </w:p>
        </w:tc>
        <w:tc>
          <w:tcPr>
            <w:tcW w:w="396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Count</w:t>
            </w:r>
          </w:p>
        </w:tc>
      </w:tr>
      <w:tr>
        <w:trPr/>
        <w:tc>
          <w:tcPr>
            <w:tcW w:w="396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Well records loaded (well universe table)</w:t>
            </w:r>
          </w:p>
        </w:tc>
        <w:tc>
          <w:tcPr>
            <w:tcW w:w="396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1,010,432</w:t>
            </w:r>
          </w:p>
        </w:tc>
      </w:tr>
      <w:tr>
        <w:trPr/>
        <w:tc>
          <w:tcPr>
            <w:tcW w:w="396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Inspection records loaded (all available years)</w:t>
            </w:r>
          </w:p>
        </w:tc>
        <w:tc>
          <w:tcPr>
            <w:tcW w:w="396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1,878,764</w:t>
            </w:r>
          </w:p>
        </w:tc>
      </w:tr>
      <w:tr>
        <w:trPr/>
        <w:tc>
          <w:tcPr>
            <w:tcW w:w="396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Violation records loaded (all available years)</w:t>
            </w:r>
          </w:p>
        </w:tc>
        <w:tc>
          <w:tcPr>
            <w:tcW w:w="396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193,338</w:t>
            </w:r>
          </w:p>
        </w:tc>
      </w:tr>
      <w:tr>
        <w:trPr/>
        <w:tc>
          <w:tcPr>
            <w:tcW w:w="396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Inspection records retained (2015-2025)</w:t>
            </w:r>
          </w:p>
        </w:tc>
        <w:tc>
          <w:tcPr>
            <w:tcW w:w="396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1,867,859</w:t>
            </w:r>
          </w:p>
        </w:tc>
      </w:tr>
      <w:tr>
        <w:trPr/>
        <w:tc>
          <w:tcPr>
            <w:tcW w:w="396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Violation records retained (2015-2025)</w:t>
            </w:r>
          </w:p>
        </w:tc>
        <w:tc>
          <w:tcPr>
            <w:tcW w:w="396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191,762</w:t>
            </w:r>
          </w:p>
        </w:tc>
      </w:tr>
      <w:tr>
        <w:trPr/>
        <w:tc>
          <w:tcPr>
            <w:tcW w:w="396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District-year panel observations</w:t>
            </w:r>
          </w:p>
        </w:tc>
        <w:tc>
          <w:tcPr>
            <w:tcW w:w="396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143</w:t>
            </w:r>
          </w:p>
        </w:tc>
      </w:tr>
      <w:tr>
        <w:trPr/>
        <w:tc>
          <w:tcPr>
            <w:tcW w:w="396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Districts represented</w:t>
            </w:r>
          </w:p>
        </w:tc>
        <w:tc>
          <w:tcPr>
            <w:tcW w:w="396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13</w:t>
            </w:r>
          </w:p>
        </w:tc>
      </w:tr>
    </w:tbl>
    <w:p>
      <w:pPr>
        <w:pStyle w:val="BodyText"/>
        <w:rPr>
          <w:rFonts w:ascii="Liberation Serif" w:hAnsi="Liberation Serif"/>
        </w:rPr>
      </w:pPr>
      <w:bookmarkStart w:id="5" w:name="a1b.-pipeline-volume-and-sample-flow"/>
      <w:r>
        <w:rPr>
          <w:rFonts w:ascii="Liberation Serif" w:hAnsi="Liberation Serif"/>
        </w:rPr>
        <w:t>These counts show that district-year inference is generated from very large underlying administrative record streams, with modest reductions due to the analytic time-window restriction.</w:t>
      </w:r>
      <w:bookmarkEnd w:id="5"/>
    </w:p>
    <w:p>
      <w:pPr>
        <w:pStyle w:val="Heading3"/>
        <w:rPr>
          <w:rFonts w:ascii="Liberation Serif" w:hAnsi="Liberation Serif"/>
        </w:rPr>
      </w:pPr>
      <w:r>
        <w:rPr>
          <w:rFonts w:ascii="Liberation Serif" w:hAnsi="Liberation Serif"/>
        </w:rPr>
        <w:t>A2. Core variables</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4679"/>
        <w:gridCol w:w="4681"/>
      </w:tblGrid>
      <w:tr>
        <w:trPr>
          <w:tblHeader w:val="true"/>
        </w:trPr>
        <w:tc>
          <w:tcPr>
            <w:tcW w:w="4679"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Measure</w:t>
            </w:r>
          </w:p>
        </w:tc>
        <w:tc>
          <w:tcPr>
            <w:tcW w:w="4681"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Definition</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Enforcement delay (logged)</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Log of district-year mean days from violation discovery to enforcement action</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Resolution on re-inspection</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Share of violations compliant on re-inspection</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Inspection compliance rate</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Share of inspections marked compliant</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Violations per inspection</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Total violations divided by inspections</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Post-policy period indicator</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Indicator for years &gt;= 2019</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Post-policy trend term</w:t>
            </w:r>
          </w:p>
        </w:tc>
        <w:tc>
          <w:tcPr>
            <w:tcW w:w="4681" w:type="dxa"/>
            <w:tcBorders/>
          </w:tcPr>
          <w:p>
            <w:pPr>
              <w:pStyle w:val="Compact"/>
              <w:widowControl/>
              <w:spacing w:before="36" w:after="36"/>
              <w:jc w:val="left"/>
              <w:rPr>
                <w:rFonts w:ascii="Aptos" w:hAnsi="Aptos" w:eastAsia="Aptos" w:cs=""/>
                <w:kern w:val="0"/>
                <w:sz w:val="24"/>
                <w:szCs w:val="24"/>
                <w:lang w:val="en-US" w:eastAsia="en-US" w:bidi="ar-SA"/>
              </w:rPr>
            </w:pPr>
            <w:r>
              <w:rPr>
                <w:rFonts w:eastAsia="Aptos" w:cs="" w:ascii="Liberation Serif" w:hAnsi="Liberation Serif"/>
                <w:kern w:val="0"/>
                <w:sz w:val="24"/>
                <w:szCs w:val="24"/>
                <w:lang w:val="en-US" w:eastAsia="en-US" w:bidi="ar-SA"/>
              </w:rPr>
              <w:t>Piecewise linear trend after policy (</w:t>
            </w:r>
            <w:r>
              <w:rPr>
                <w:rStyle w:val="VerbatimChar"/>
                <w:rFonts w:eastAsia="Aptos" w:cs="" w:ascii="Liberation Serif" w:hAnsi="Liberation Serif"/>
                <w:kern w:val="0"/>
                <w:szCs w:val="24"/>
                <w:lang w:val="en-US" w:eastAsia="en-US" w:bidi="ar-SA"/>
              </w:rPr>
              <w:t>max(year-2018,0)</w:t>
            </w:r>
            <w:r>
              <w:rPr>
                <w:rFonts w:eastAsia="Aptos" w:cs="" w:ascii="Liberation Serif" w:hAnsi="Liberation Serif"/>
                <w:kern w:val="0"/>
                <w:sz w:val="24"/>
                <w:szCs w:val="24"/>
                <w:lang w:val="en-US" w:eastAsia="en-US" w:bidi="ar-SA"/>
              </w:rPr>
              <w:t>)</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Offshore jurisdiction indicator</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 xml:space="preserve">Indicator for districts </w:t>
            </w:r>
            <w:r>
              <w:rPr>
                <w:rFonts w:eastAsia="Aptos" w:cs="" w:ascii="Liberation Serif" w:hAnsi="Liberation Serif"/>
                <w:kern w:val="0"/>
                <w:sz w:val="24"/>
                <w:szCs w:val="24"/>
                <w:lang w:val="en-US" w:eastAsia="en-US" w:bidi="ar-SA"/>
              </w:rPr>
              <w:t>2, 3, and 4</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High-capacity indicator</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District above median pre-policy inspection volume</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Low-baseline-compliance indicator</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District below median pre-policy compliance</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High-EJ indicator</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District above median EJ score</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High-rurality indicator</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District above median RUCA</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Border-proximity indicator</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Operationalized border-proximity indicator</w:t>
            </w:r>
          </w:p>
        </w:tc>
      </w:tr>
      <w:tr>
        <w:trPr/>
        <w:tc>
          <w:tcPr>
            <w:tcW w:w="4679"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Dominant basin category</w:t>
            </w:r>
          </w:p>
        </w:tc>
        <w:tc>
          <w:tcPr>
            <w:tcW w:w="4681"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Dominant basin category</w:t>
            </w:r>
            <w:bookmarkStart w:id="6" w:name="X3f3b6f79117e9ccd4ebb1ad72181e85763e4ab8"/>
            <w:bookmarkStart w:id="7" w:name="a2.-core-variables"/>
            <w:bookmarkEnd w:id="6"/>
            <w:bookmarkEnd w:id="7"/>
          </w:p>
        </w:tc>
      </w:tr>
    </w:tbl>
    <w:p>
      <w:pPr>
        <w:pStyle w:val="Heading2"/>
        <w:rPr>
          <w:rFonts w:ascii="Liberation Serif" w:hAnsi="Liberation Serif"/>
        </w:rPr>
      </w:pPr>
      <w:r>
        <w:rPr>
          <w:rFonts w:ascii="Liberation Serif" w:hAnsi="Liberation Serif"/>
        </w:rPr>
        <w:t>Appendix B. Econometric Specifications</w:t>
      </w:r>
    </w:p>
    <w:p>
      <w:pPr>
        <w:pStyle w:val="FirstParagraph"/>
        <w:rPr>
          <w:rFonts w:ascii="Liberation Serif" w:hAnsi="Liberation Serif"/>
        </w:rPr>
      </w:pPr>
      <w:r>
        <w:rPr>
          <w:rFonts w:ascii="Liberation Serif" w:hAnsi="Liberation Serif"/>
        </w:rPr>
        <w:t>The specification sequence follows the main text: a common-shock interrupted panel for H1, district-specific post-policy heterogeneity for H2, an offshore moderator for H5, and a global spatial autocorrelation diagnostic for H4. Because all districts are exposed in the same policy year, heterogeneity is modeled through district-by-post interactions rather than staggered-adoption treatment-timing estimators.</w:t>
      </w:r>
    </w:p>
    <w:p>
      <w:pPr>
        <w:pStyle w:val="Heading3"/>
        <w:rPr>
          <w:rFonts w:ascii="Liberation Serif" w:hAnsi="Liberation Serif"/>
        </w:rPr>
      </w:pPr>
      <w:bookmarkStart w:id="8" w:name="b1.-interrupted-panel-all-districts-h1"/>
      <w:r>
        <w:rPr>
          <w:rFonts w:ascii="Liberation Serif" w:hAnsi="Liberation Serif"/>
        </w:rPr>
        <w:t>B1. Interrupted panel (all districts; H1)</w:t>
      </w:r>
    </w:p>
    <w:p>
      <w:pPr>
        <w:pStyle w:val="FirstParagraph"/>
        <w:jc w:val="center"/>
        <w:rPr>
          <w:rFonts w:ascii="Liberation Serif" w:hAnsi="Liberation Serif"/>
        </w:rPr>
      </w:pPr>
      <w:bookmarkStart w:id="9" w:name="b1.-interrupted-panel-all-districts-h1"/>
      <w:r>
        <w:rPr>
          <w:rFonts w:ascii="Liberation Serif" w:hAnsi="Liberation Serif"/>
        </w:rPr>
      </w:r>
      <m:oMathPara xmlns:m="http://schemas.openxmlformats.org/officeDocument/2006/math">
        <m:oMathParaPr>
          <m:jc m:val="center"/>
        </m:oMathParaPr>
        <m:oMath>
          <m:sSub>
            <m:e>
              <m:r>
                <w:rPr>
                  <w:rFonts w:ascii="Cambria Math" w:hAnsi="Cambria Math"/>
                </w:rPr>
                <m:t xml:space="preserve">Y</m:t>
              </m:r>
            </m:e>
            <m:sub>
              <m:r>
                <w:rPr>
                  <w:rFonts w:ascii="Cambria Math" w:hAnsi="Cambria Math"/>
                </w:rPr>
                <m:t xml:space="preserve">d</m:t>
              </m:r>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α</m:t>
              </m:r>
            </m:e>
            <m:sub>
              <m:r>
                <w:rPr>
                  <w:rFonts w:ascii="Cambria Math" w:hAnsi="Cambria Math"/>
                </w:rPr>
                <m:t xml:space="preserve">d</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1</m:t>
              </m:r>
            </m:sub>
          </m:sSub>
          <m:sSub>
            <m:e>
              <m:r>
                <m:rPr>
                  <m:lit/>
                  <m:nor/>
                </m:rPr>
                <w:rPr>
                  <w:rFonts w:ascii="Cambria Math" w:hAnsi="Cambria Math"/>
                </w:rPr>
                <m:t xml:space="preserve">YearNum</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2</m:t>
              </m:r>
            </m:sub>
          </m:sSub>
          <m:sSub>
            <m:e>
              <m:r>
                <m:rPr>
                  <m:lit/>
                  <m:nor/>
                </m:rPr>
                <w:rPr>
                  <w:rFonts w:ascii="Cambria Math" w:hAnsi="Cambria Math"/>
                </w:rPr>
                <m:t xml:space="preserve">Post2019</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β</m:t>
              </m:r>
            </m:e>
            <m:sub>
              <m:r>
                <w:rPr>
                  <w:rFonts w:ascii="Cambria Math" w:hAnsi="Cambria Math"/>
                </w:rPr>
                <m:t xml:space="preserve">3</m:t>
              </m:r>
            </m:sub>
          </m:sSub>
          <m:sSub>
            <m:e>
              <m:r>
                <m:rPr>
                  <m:lit/>
                  <m:nor/>
                </m:rPr>
                <w:rPr>
                  <w:rFonts w:ascii="Cambria Math" w:hAnsi="Cambria Math"/>
                </w:rPr>
                <m:t xml:space="preserve">PostTrend</m:t>
              </m:r>
            </m:e>
            <m:sub>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ε</m:t>
              </m:r>
            </m:e>
            <m:sub>
              <m:r>
                <w:rPr>
                  <w:rFonts w:ascii="Cambria Math" w:hAnsi="Cambria Math"/>
                </w:rPr>
                <m:t xml:space="preserve">d</m:t>
              </m:r>
              <m:r>
                <w:rPr>
                  <w:rFonts w:ascii="Cambria Math" w:hAnsi="Cambria Math"/>
                </w:rPr>
                <m:t xml:space="preserve">t</m:t>
              </m:r>
            </m:sub>
          </m:sSub>
        </m:oMath>
      </m:oMathPara>
      <w:bookmarkEnd w:id="9"/>
    </w:p>
    <w:p>
      <w:pPr>
        <w:pStyle w:val="Heading3"/>
        <w:rPr>
          <w:rFonts w:ascii="Liberation Serif" w:hAnsi="Liberation Serif"/>
        </w:rPr>
      </w:pPr>
      <w:bookmarkStart w:id="10" w:name="b2.-district-heterogeneity-h2"/>
      <w:r>
        <w:rPr>
          <w:rFonts w:ascii="Liberation Serif" w:hAnsi="Liberation Serif"/>
        </w:rPr>
        <w:t>B2. District heterogeneity (H2)</w:t>
      </w:r>
    </w:p>
    <w:p>
      <w:pPr>
        <w:pStyle w:val="FirstParagraph"/>
        <w:jc w:val="center"/>
        <w:rPr>
          <w:rFonts w:ascii="Liberation Serif" w:hAnsi="Liberation Serif"/>
        </w:rPr>
      </w:pPr>
      <w:bookmarkStart w:id="11" w:name="b2.-district-heterogeneity-h2"/>
      <w:r>
        <w:rPr>
          <w:rFonts w:ascii="Liberation Serif" w:hAnsi="Liberation Serif"/>
        </w:rPr>
      </w:r>
      <m:oMathPara xmlns:m="http://schemas.openxmlformats.org/officeDocument/2006/math">
        <m:oMathParaPr>
          <m:jc m:val="center"/>
        </m:oMathParaPr>
        <m:oMath>
          <m:sSub>
            <m:e>
              <m:r>
                <w:rPr>
                  <w:rFonts w:ascii="Cambria Math" w:hAnsi="Cambria Math"/>
                </w:rPr>
                <m:t xml:space="preserve">Y</m:t>
              </m:r>
            </m:e>
            <m:sub>
              <m:r>
                <w:rPr>
                  <w:rFonts w:ascii="Cambria Math" w:hAnsi="Cambria Math"/>
                </w:rPr>
                <m:t xml:space="preserve">d</m:t>
              </m:r>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α</m:t>
              </m:r>
            </m:e>
            <m:sub>
              <m:r>
                <w:rPr>
                  <w:rFonts w:ascii="Cambria Math" w:hAnsi="Cambria Math"/>
                </w:rPr>
                <m:t xml:space="preserve">d</m:t>
              </m:r>
            </m:sub>
          </m:sSub>
          <m:r>
            <m:rPr>
              <m:lit/>
              <m:nor/>
            </m:rPr>
            <w:rPr>
              <w:rFonts w:ascii="Cambria Math" w:hAnsi="Cambria Math"/>
            </w:rPr>
            <m:t xml:space="preserve">+</m:t>
          </m:r>
          <m:sSub>
            <m:e>
              <m:r>
                <w:rPr>
                  <w:rFonts w:ascii="Cambria Math" w:hAnsi="Cambria Math"/>
                </w:rPr>
                <m:t xml:space="preserve">γ</m:t>
              </m:r>
            </m:e>
            <m:sub>
              <m:r>
                <w:rPr>
                  <w:rFonts w:ascii="Cambria Math" w:hAnsi="Cambria Math"/>
                </w:rPr>
                <m:t xml:space="preserve">t</m:t>
              </m:r>
            </m:sub>
          </m:sSub>
          <m:r>
            <m:rPr>
              <m:lit/>
              <m:nor/>
            </m:rPr>
            <w:rPr>
              <w:rFonts w:ascii="Cambria Math" w:hAnsi="Cambria Math"/>
            </w:rPr>
            <m:t xml:space="preserve">+</m:t>
          </m:r>
          <m:nary>
            <m:naryPr>
              <m:chr m:val="∑"/>
              <m:supHide m:val="1"/>
            </m:naryPr>
            <m:sub>
              <m:r>
                <w:rPr>
                  <w:rFonts w:ascii="Cambria Math" w:hAnsi="Cambria Math"/>
                </w:rPr>
                <m:t xml:space="preserve">d</m:t>
              </m:r>
            </m:sub>
            <m:sup/>
            <m:e>
              <m:sSub>
                <m:e>
                  <m:r>
                    <w:rPr>
                      <w:rFonts w:ascii="Cambria Math" w:hAnsi="Cambria Math"/>
                    </w:rPr>
                    <m:t xml:space="preserve">θ</m:t>
                  </m:r>
                </m:e>
                <m:sub>
                  <m:r>
                    <w:rPr>
                      <w:rFonts w:ascii="Cambria Math" w:hAnsi="Cambria Math"/>
                    </w:rPr>
                    <m:t xml:space="preserve">d</m:t>
                  </m:r>
                </m:sub>
              </m:sSub>
            </m:e>
          </m:nary>
          <m:d>
            <m:dPr>
              <m:begChr m:val="("/>
              <m:endChr m:val=")"/>
            </m:dPr>
            <m:e>
              <m:sSub>
                <m:e>
                  <m:r>
                    <m:rPr>
                      <m:lit/>
                      <m:nor/>
                    </m:rPr>
                    <w:rPr>
                      <w:rFonts w:ascii="Cambria Math" w:hAnsi="Cambria Math"/>
                    </w:rPr>
                    <m:t xml:space="preserve">District</m:t>
                  </m:r>
                </m:e>
                <m:sub>
                  <m:r>
                    <w:rPr>
                      <w:rFonts w:ascii="Cambria Math" w:hAnsi="Cambria Math"/>
                    </w:rPr>
                    <m:t xml:space="preserve">d</m:t>
                  </m:r>
                </m:sub>
              </m:sSub>
              <m:r>
                <w:rPr>
                  <w:rFonts w:ascii="Cambria Math" w:hAnsi="Cambria Math"/>
                </w:rPr>
                <m:t xml:space="preserve">×</m:t>
              </m:r>
              <m:sSub>
                <m:e>
                  <m:r>
                    <m:rPr>
                      <m:lit/>
                      <m:nor/>
                    </m:rPr>
                    <w:rPr>
                      <w:rFonts w:ascii="Cambria Math" w:hAnsi="Cambria Math"/>
                    </w:rPr>
                    <m:t xml:space="preserve">Post2019</m:t>
                  </m:r>
                </m:e>
                <m:sub>
                  <m:r>
                    <w:rPr>
                      <w:rFonts w:ascii="Cambria Math" w:hAnsi="Cambria Math"/>
                    </w:rPr>
                    <m:t xml:space="preserve">t</m:t>
                  </m:r>
                </m:sub>
              </m:sSub>
            </m:e>
          </m:d>
          <m:r>
            <m:rPr>
              <m:lit/>
              <m:nor/>
            </m:rPr>
            <w:rPr>
              <w:rFonts w:ascii="Cambria Math" w:hAnsi="Cambria Math"/>
            </w:rPr>
            <m:t xml:space="preserve">+</m:t>
          </m:r>
          <m:sSub>
            <m:e>
              <m:r>
                <w:rPr>
                  <w:rFonts w:ascii="Cambria Math" w:hAnsi="Cambria Math"/>
                </w:rPr>
                <m:t xml:space="preserve">ε</m:t>
              </m:r>
            </m:e>
            <m:sub>
              <m:r>
                <w:rPr>
                  <w:rFonts w:ascii="Cambria Math" w:hAnsi="Cambria Math"/>
                </w:rPr>
                <m:t xml:space="preserve">d</m:t>
              </m:r>
              <m:r>
                <w:rPr>
                  <w:rFonts w:ascii="Cambria Math" w:hAnsi="Cambria Math"/>
                </w:rPr>
                <m:t xml:space="preserve">t</m:t>
              </m:r>
            </m:sub>
          </m:sSub>
        </m:oMath>
      </m:oMathPara>
      <w:bookmarkEnd w:id="11"/>
    </w:p>
    <w:p>
      <w:pPr>
        <w:pStyle w:val="Heading3"/>
        <w:rPr>
          <w:rFonts w:ascii="Liberation Serif" w:hAnsi="Liberation Serif"/>
        </w:rPr>
      </w:pPr>
      <w:bookmarkStart w:id="12" w:name="b3.-offshore-moderation-h5"/>
      <w:r>
        <w:rPr>
          <w:rFonts w:ascii="Liberation Serif" w:hAnsi="Liberation Serif"/>
        </w:rPr>
        <w:t>B3. Offshore moderation (H5)</w:t>
      </w:r>
    </w:p>
    <w:p>
      <w:pPr>
        <w:pStyle w:val="FirstParagraph"/>
        <w:jc w:val="center"/>
        <w:rPr>
          <w:rFonts w:ascii="Liberation Serif" w:hAnsi="Liberation Serif"/>
        </w:rPr>
      </w:pPr>
      <w:r>
        <w:rPr>
          <w:rFonts w:ascii="Liberation Serif" w:hAnsi="Liberation Serif"/>
        </w:rPr>
      </w:r>
      <m:oMathPara xmlns:m="http://schemas.openxmlformats.org/officeDocument/2006/math">
        <m:oMathParaPr>
          <m:jc m:val="center"/>
        </m:oMathParaPr>
        <m:oMath>
          <m:sSub>
            <m:e>
              <m:r>
                <w:rPr>
                  <w:rFonts w:ascii="Cambria Math" w:hAnsi="Cambria Math"/>
                </w:rPr>
                <m:t xml:space="preserve">Y</m:t>
              </m:r>
            </m:e>
            <m:sub>
              <m:r>
                <w:rPr>
                  <w:rFonts w:ascii="Cambria Math" w:hAnsi="Cambria Math"/>
                </w:rPr>
                <m:t xml:space="preserve">d</m:t>
              </m:r>
              <m:r>
                <w:rPr>
                  <w:rFonts w:ascii="Cambria Math" w:hAnsi="Cambria Math"/>
                </w:rPr>
                <m:t xml:space="preserve">t</m:t>
              </m:r>
            </m:sub>
          </m:sSub>
          <m:r>
            <m:rPr>
              <m:lit/>
              <m:nor/>
            </m:rPr>
            <w:rPr>
              <w:rFonts w:ascii="Cambria Math" w:hAnsi="Cambria Math"/>
            </w:rPr>
            <m:t xml:space="preserve">=</m:t>
          </m:r>
          <m:sSub>
            <m:e>
              <m:r>
                <w:rPr>
                  <w:rFonts w:ascii="Cambria Math" w:hAnsi="Cambria Math"/>
                </w:rPr>
                <m:t xml:space="preserve">α</m:t>
              </m:r>
            </m:e>
            <m:sub>
              <m:r>
                <w:rPr>
                  <w:rFonts w:ascii="Cambria Math" w:hAnsi="Cambria Math"/>
                </w:rPr>
                <m:t xml:space="preserve">d</m:t>
              </m:r>
            </m:sub>
          </m:sSub>
          <m:r>
            <m:rPr>
              <m:lit/>
              <m:nor/>
            </m:rPr>
            <w:rPr>
              <w:rFonts w:ascii="Cambria Math" w:hAnsi="Cambria Math"/>
            </w:rPr>
            <m:t xml:space="preserve">+</m:t>
          </m:r>
          <m:sSub>
            <m:e>
              <m:r>
                <w:rPr>
                  <w:rFonts w:ascii="Cambria Math" w:hAnsi="Cambria Math"/>
                </w:rPr>
                <m:t xml:space="preserve">γ</m:t>
              </m:r>
            </m:e>
            <m:sub>
              <m:r>
                <w:rPr>
                  <w:rFonts w:ascii="Cambria Math" w:hAnsi="Cambria Math"/>
                </w:rPr>
                <m:t xml:space="preserve">t</m:t>
              </m:r>
            </m:sub>
          </m:sSub>
          <m:r>
            <m:rPr>
              <m:lit/>
              <m:nor/>
            </m:rPr>
            <w:rPr>
              <w:rFonts w:ascii="Cambria Math" w:hAnsi="Cambria Math"/>
            </w:rPr>
            <m:t xml:space="preserve">+</m:t>
          </m:r>
          <m:nary>
            <m:naryPr>
              <m:chr m:val="∑"/>
              <m:supHide m:val="1"/>
            </m:naryPr>
            <m:sub>
              <m:r>
                <w:rPr>
                  <w:rFonts w:ascii="Cambria Math" w:hAnsi="Cambria Math"/>
                </w:rPr>
                <m:t xml:space="preserve">d</m:t>
              </m:r>
            </m:sub>
            <m:sup/>
            <m:e>
              <m:sSub>
                <m:e>
                  <m:r>
                    <w:rPr>
                      <w:rFonts w:ascii="Cambria Math" w:hAnsi="Cambria Math"/>
                    </w:rPr>
                    <m:t xml:space="preserve">θ</m:t>
                  </m:r>
                </m:e>
                <m:sub>
                  <m:r>
                    <w:rPr>
                      <w:rFonts w:ascii="Cambria Math" w:hAnsi="Cambria Math"/>
                    </w:rPr>
                    <m:t xml:space="preserve">d</m:t>
                  </m:r>
                </m:sub>
              </m:sSub>
            </m:e>
          </m:nary>
          <m:d>
            <m:dPr>
              <m:begChr m:val="("/>
              <m:endChr m:val=")"/>
            </m:dPr>
            <m:e>
              <m:sSub>
                <m:e>
                  <m:r>
                    <m:rPr>
                      <m:lit/>
                      <m:nor/>
                    </m:rPr>
                    <w:rPr>
                      <w:rFonts w:ascii="Cambria Math" w:hAnsi="Cambria Math"/>
                    </w:rPr>
                    <m:t xml:space="preserve">District</m:t>
                  </m:r>
                </m:e>
                <m:sub>
                  <m:r>
                    <w:rPr>
                      <w:rFonts w:ascii="Cambria Math" w:hAnsi="Cambria Math"/>
                    </w:rPr>
                    <m:t xml:space="preserve">d</m:t>
                  </m:r>
                </m:sub>
              </m:sSub>
              <m:r>
                <w:rPr>
                  <w:rFonts w:ascii="Cambria Math" w:hAnsi="Cambria Math"/>
                </w:rPr>
                <m:t xml:space="preserve">×</m:t>
              </m:r>
              <m:sSub>
                <m:e>
                  <m:r>
                    <m:rPr>
                      <m:lit/>
                      <m:nor/>
                    </m:rPr>
                    <w:rPr>
                      <w:rFonts w:ascii="Cambria Math" w:hAnsi="Cambria Math"/>
                    </w:rPr>
                    <m:t xml:space="preserve">Post2019</m:t>
                  </m:r>
                </m:e>
                <m:sub>
                  <m:r>
                    <w:rPr>
                      <w:rFonts w:ascii="Cambria Math" w:hAnsi="Cambria Math"/>
                    </w:rPr>
                    <m:t xml:space="preserve">t</m:t>
                  </m:r>
                </m:sub>
              </m:sSub>
            </m:e>
          </m:d>
          <m:r>
            <m:rPr>
              <m:lit/>
              <m:nor/>
            </m:rPr>
            <w:rPr>
              <w:rFonts w:ascii="Cambria Math" w:hAnsi="Cambria Math"/>
            </w:rPr>
            <m:t xml:space="preserve">+</m:t>
          </m:r>
          <m:r>
            <w:rPr>
              <w:rFonts w:ascii="Cambria Math" w:hAnsi="Cambria Math"/>
            </w:rPr>
            <m:t xml:space="preserve">ϕ</m:t>
          </m:r>
          <m:d>
            <m:dPr>
              <m:begChr m:val="("/>
              <m:endChr m:val=")"/>
            </m:dPr>
            <m:e>
              <m:sSub>
                <m:e>
                  <m:r>
                    <m:rPr>
                      <m:lit/>
                      <m:nor/>
                    </m:rPr>
                    <w:rPr>
                      <w:rFonts w:ascii="Cambria Math" w:hAnsi="Cambria Math"/>
                    </w:rPr>
                    <m:t xml:space="preserve">Post2019</m:t>
                  </m:r>
                </m:e>
                <m:sub>
                  <m:r>
                    <w:rPr>
                      <w:rFonts w:ascii="Cambria Math" w:hAnsi="Cambria Math"/>
                    </w:rPr>
                    <m:t xml:space="preserve">t</m:t>
                  </m:r>
                </m:sub>
              </m:sSub>
              <m:r>
                <w:rPr>
                  <w:rFonts w:ascii="Cambria Math" w:hAnsi="Cambria Math"/>
                </w:rPr>
                <m:t xml:space="preserve">×</m:t>
              </m:r>
              <m:sSub>
                <m:e>
                  <m:r>
                    <m:rPr>
                      <m:lit/>
                      <m:nor/>
                    </m:rPr>
                    <w:rPr>
                      <w:rFonts w:ascii="Cambria Math" w:hAnsi="Cambria Math"/>
                    </w:rPr>
                    <m:t xml:space="preserve">Offshore</m:t>
                  </m:r>
                </m:e>
                <m:sub>
                  <m:r>
                    <w:rPr>
                      <w:rFonts w:ascii="Cambria Math" w:hAnsi="Cambria Math"/>
                    </w:rPr>
                    <m:t xml:space="preserve">d</m:t>
                  </m:r>
                </m:sub>
              </m:sSub>
            </m:e>
          </m:d>
          <m:r>
            <m:rPr>
              <m:lit/>
              <m:nor/>
            </m:rPr>
            <w:rPr>
              <w:rFonts w:ascii="Cambria Math" w:hAnsi="Cambria Math"/>
            </w:rPr>
            <m:t xml:space="preserve">+</m:t>
          </m:r>
          <m:sSub>
            <m:e>
              <m:r>
                <w:rPr>
                  <w:rFonts w:ascii="Cambria Math" w:hAnsi="Cambria Math"/>
                </w:rPr>
                <m:t xml:space="preserve">ε</m:t>
              </m:r>
            </m:e>
            <m:sub>
              <m:r>
                <w:rPr>
                  <w:rFonts w:ascii="Cambria Math" w:hAnsi="Cambria Math"/>
                </w:rPr>
                <m:t xml:space="preserve">d</m:t>
              </m:r>
              <m:r>
                <w:rPr>
                  <w:rFonts w:ascii="Cambria Math" w:hAnsi="Cambria Math"/>
                </w:rPr>
                <m:t xml:space="preserve">t</m:t>
              </m:r>
            </m:sub>
          </m:sSub>
        </m:oMath>
      </m:oMathPara>
    </w:p>
    <w:p>
      <w:pPr>
        <w:pStyle w:val="FirstParagraph"/>
        <w:rPr>
          <w:rFonts w:ascii="Liberation Serif" w:hAnsi="Liberation Serif"/>
        </w:rPr>
      </w:pPr>
      <w:bookmarkStart w:id="13" w:name="b3.-offshore-moderation-h5"/>
      <w:r>
        <w:rPr>
          <w:rFonts w:ascii="Liberation Serif" w:hAnsi="Liberation Serif"/>
        </w:rPr>
        <w:t>All models report district-clustered standard errors.</w:t>
      </w:r>
      <w:bookmarkEnd w:id="13"/>
    </w:p>
    <w:p>
      <w:pPr>
        <w:pStyle w:val="Heading3"/>
        <w:rPr>
          <w:rFonts w:ascii="Liberation Serif" w:hAnsi="Liberation Serif"/>
        </w:rPr>
      </w:pPr>
      <w:bookmarkStart w:id="14" w:name="b4.-spatial-diagnostic-h4"/>
      <w:r>
        <w:rPr>
          <w:rFonts w:ascii="Liberation Serif" w:hAnsi="Liberation Serif"/>
        </w:rPr>
        <w:t>B4. Spatial diagnostic (H4)</w:t>
      </w:r>
    </w:p>
    <w:p>
      <w:pPr>
        <w:pStyle w:val="FirstParagraph"/>
        <w:rPr>
          <w:rFonts w:ascii="Liberation Serif" w:hAnsi="Liberation Serif"/>
        </w:rPr>
      </w:pPr>
      <w:bookmarkStart w:id="15" w:name="b4.-spatial-diagnostic-h4"/>
      <w:r>
        <w:rPr>
          <w:rFonts w:ascii="Liberation Serif" w:hAnsi="Liberation Serif"/>
        </w:rPr>
        <w:t>H4 is tested using permutation-based global Moran’s I on estimated district treatment effects, using a manually specified district contiguity matrix and 5,000 random permutations for inference.</w:t>
      </w:r>
      <w:bookmarkEnd w:id="15"/>
    </w:p>
    <w:p>
      <w:pPr>
        <w:pStyle w:val="Heading2"/>
        <w:rPr>
          <w:rFonts w:ascii="Liberation Serif" w:hAnsi="Liberation Serif"/>
        </w:rPr>
      </w:pPr>
      <w:bookmarkStart w:id="16" w:name="appendix-c.-main-run-outputs"/>
      <w:r>
        <w:rPr>
          <w:rFonts w:ascii="Liberation Serif" w:hAnsi="Liberation Serif"/>
        </w:rPr>
        <w:t>Appendix C. Main Run Outputs</w:t>
      </w:r>
    </w:p>
    <w:p>
      <w:pPr>
        <w:pStyle w:val="Heading3"/>
        <w:rPr>
          <w:rFonts w:ascii="Liberation Serif" w:hAnsi="Liberation Serif"/>
        </w:rPr>
      </w:pPr>
      <w:bookmarkStart w:id="17" w:name="c1.-h1-all-district-timing-outcome"/>
      <w:r>
        <w:rPr>
          <w:rFonts w:ascii="Liberation Serif" w:hAnsi="Liberation Serif"/>
        </w:rPr>
        <w:t>C1. H1 (all-district timing outcome)</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2640"/>
        <w:gridCol w:w="2640"/>
        <w:gridCol w:w="2640"/>
      </w:tblGrid>
      <w:tr>
        <w:trPr>
          <w:tblHeader w:val="true"/>
        </w:trPr>
        <w:tc>
          <w:tcPr>
            <w:tcW w:w="264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Effect term</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Coefficient</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P-value</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Immediate post-2019 level shift</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0.1514</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0.3294</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Post-2019 annual trend shift</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-0.3603</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0.0010</w:t>
            </w:r>
          </w:p>
        </w:tc>
      </w:tr>
    </w:tbl>
    <w:p>
      <w:pPr>
        <w:pStyle w:val="BodyText"/>
        <w:rPr>
          <w:rFonts w:ascii="Liberation Serif" w:hAnsi="Liberation Serif"/>
        </w:rPr>
      </w:pPr>
      <w:bookmarkStart w:id="18" w:name="c1.-h1-all-district-timing-outcome"/>
      <w:r>
        <w:rPr>
          <w:rFonts w:ascii="Liberation Serif" w:hAnsi="Liberation Serif"/>
        </w:rPr>
        <w:t>Interpretation: no significant immediate level shift; significant post-policy acceleration slope. Substantively, this table supports the main-text conclusion that the policy effect is best characterized as gradual acceleration through the enforcement pipeline rather than a single break at policy adoption.</w:t>
      </w:r>
      <w:bookmarkEnd w:id="18"/>
    </w:p>
    <w:p>
      <w:pPr>
        <w:pStyle w:val="Heading3"/>
        <w:rPr>
          <w:rFonts w:ascii="Liberation Serif" w:hAnsi="Liberation Serif"/>
        </w:rPr>
      </w:pPr>
      <w:bookmarkStart w:id="19" w:name="X4402bb8abe2d7c4b2de7f4263cffe1af55b5146"/>
      <w:r>
        <w:rPr>
          <w:rFonts w:ascii="Liberation Serif" w:hAnsi="Liberation Serif"/>
        </w:rPr>
        <w:t>C2. Event-study decomposition (all districts; ref=2018)</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2640"/>
        <w:gridCol w:w="2640"/>
        <w:gridCol w:w="2640"/>
      </w:tblGrid>
      <w:tr>
        <w:trPr>
          <w:tblHeader w:val="true"/>
        </w:trPr>
        <w:tc>
          <w:tcPr>
            <w:tcW w:w="264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Year</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Coefficient</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P-value</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2015</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-0.4592</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0.0658</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2016</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-0.3359</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0.1615</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2017</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-0.0385</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0.7502</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2019</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-0.1149</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0.2843</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2020</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-0.1666</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0.3878</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2021</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-0.4192</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0.1072</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2022</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-0.5853</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0.0333</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2023</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-0.4899</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0.1160</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2024</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-0.7829</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0.0057</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2025</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-1.4800</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&lt;0.001</w:t>
            </w:r>
          </w:p>
        </w:tc>
      </w:tr>
    </w:tbl>
    <w:p>
      <w:pPr>
        <w:pStyle w:val="BodyText"/>
        <w:rPr>
          <w:rFonts w:ascii="Liberation Serif" w:hAnsi="Liberation Serif"/>
        </w:rPr>
      </w:pPr>
      <w:bookmarkStart w:id="20" w:name="X4402bb8abe2d7c4b2de7f4263cffe1af55b5146"/>
      <w:r>
        <w:rPr>
          <w:rFonts w:ascii="Liberation Serif" w:hAnsi="Liberation Serif"/>
        </w:rPr>
        <w:t>Pre-policy years are jointly non-significant in this decomposition. The coefficient pattern reinforces parallel-pretrend credibility while showing that the post-policy effect strengthens in later years, consistent with delayed organizational adaptation.</w:t>
      </w:r>
      <w:bookmarkEnd w:id="20"/>
    </w:p>
    <w:p>
      <w:pPr>
        <w:pStyle w:val="Heading3"/>
        <w:rPr>
          <w:rFonts w:ascii="Liberation Serif" w:hAnsi="Liberation Serif"/>
        </w:rPr>
      </w:pPr>
      <w:bookmarkStart w:id="21" w:name="c2b.-h2-omnibus-heterogeneity-test"/>
      <w:r>
        <w:rPr>
          <w:rFonts w:ascii="Liberation Serif" w:hAnsi="Liberation Serif"/>
        </w:rPr>
        <w:t>C2b. H2 omnibus heterogeneity test</w:t>
      </w:r>
    </w:p>
    <w:p>
      <w:pPr>
        <w:pStyle w:val="Compact"/>
        <w:numPr>
          <w:ilvl w:val="0"/>
          <w:numId w:val="1"/>
        </w:numPr>
        <w:rPr>
          <w:rFonts w:ascii="Liberation Serif" w:hAnsi="Liberation Serif"/>
        </w:rPr>
      </w:pPr>
      <w:r>
        <w:rPr>
          <w:rFonts w:ascii="Liberation Serif" w:hAnsi="Liberation Serif"/>
        </w:rPr>
        <w:t>Wald chi-square (all district-by-post terms = 0): 0.670</w:t>
      </w:r>
    </w:p>
    <w:p>
      <w:pPr>
        <w:pStyle w:val="Compact"/>
        <w:numPr>
          <w:ilvl w:val="0"/>
          <w:numId w:val="1"/>
        </w:numPr>
        <w:rPr>
          <w:rFonts w:ascii="Liberation Serif" w:hAnsi="Liberation Serif"/>
        </w:rPr>
      </w:pPr>
      <w:r>
        <w:rPr>
          <w:rFonts w:ascii="Liberation Serif" w:hAnsi="Liberation Serif"/>
        </w:rPr>
        <w:t>P-value: 0.4130</w:t>
      </w:r>
    </w:p>
    <w:p>
      <w:pPr>
        <w:pStyle w:val="FirstParagraph"/>
        <w:rPr>
          <w:rFonts w:ascii="Liberation Serif" w:hAnsi="Liberation Serif"/>
        </w:rPr>
      </w:pPr>
      <w:bookmarkStart w:id="22" w:name="c2b.-h2-omnibus-heterogeneity-test"/>
      <w:r>
        <w:rPr>
          <w:rFonts w:ascii="Liberation Serif" w:hAnsi="Liberation Serif"/>
        </w:rPr>
        <w:t>This omnibus test is not statistically significant, so district heterogeneity is interpreted primarily from the dispersion of district-specific estimates and mapped effect magnitudes.</w:t>
      </w:r>
      <w:bookmarkEnd w:id="22"/>
    </w:p>
    <w:p>
      <w:pPr>
        <w:pStyle w:val="Heading3"/>
        <w:rPr>
          <w:rFonts w:ascii="Liberation Serif" w:hAnsi="Liberation Serif"/>
        </w:rPr>
      </w:pPr>
      <w:bookmarkStart w:id="23" w:name="X940fb8b4ef1bf98c2354c1b58c3299d61c54e81"/>
      <w:r>
        <w:rPr>
          <w:rFonts w:ascii="Liberation Serif" w:hAnsi="Liberation Serif"/>
        </w:rPr>
        <w:t>C3. Offshore differential annual effects (ref=2018)</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2640"/>
        <w:gridCol w:w="2640"/>
        <w:gridCol w:w="2640"/>
      </w:tblGrid>
      <w:tr>
        <w:trPr>
          <w:tblHeader w:val="true"/>
        </w:trPr>
        <w:tc>
          <w:tcPr>
            <w:tcW w:w="264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Year</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Offshore differential coef</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P-value</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2019</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0.3479</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0.1581</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2020</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0.1796</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0.7089</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2021</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0.9121</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0.1095</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2022</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0.7532</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0.0652</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2023</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0.9166</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0.0325</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2024</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1.0693</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0.0280</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2025</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0.7233</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0.2091</w:t>
            </w:r>
          </w:p>
        </w:tc>
      </w:tr>
    </w:tbl>
    <w:p>
      <w:pPr>
        <w:pStyle w:val="BodyText"/>
        <w:rPr>
          <w:rFonts w:ascii="Liberation Serif" w:hAnsi="Liberation Serif"/>
        </w:rPr>
      </w:pPr>
      <w:bookmarkStart w:id="24" w:name="X940fb8b4ef1bf98c2354c1b58c3299d61c54e81"/>
      <w:r>
        <w:rPr>
          <w:rFonts w:ascii="Liberation Serif" w:hAnsi="Liberation Serif"/>
        </w:rPr>
        <w:t>These estimates indicate that offshore jurisdictions diverge from non-offshore districts in specific post years rather than uniformly across the entire post period. The strongest differentials appear in 2023-2024.</w:t>
      </w:r>
      <w:bookmarkEnd w:id="24"/>
    </w:p>
    <w:p>
      <w:pPr>
        <w:pStyle w:val="Heading3"/>
        <w:rPr>
          <w:rFonts w:ascii="Liberation Serif" w:hAnsi="Liberation Serif"/>
        </w:rPr>
      </w:pPr>
      <w:bookmarkStart w:id="25" w:name="Xab3403dffe35f0635d7bc28b35e1a5bdcb15ff2"/>
      <w:r>
        <w:rPr>
          <w:rFonts w:ascii="Liberation Serif" w:hAnsi="Liberation Serif"/>
        </w:rPr>
        <w:t>C4. H5 offshore moderator (conditional model)</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2640"/>
        <w:gridCol w:w="2640"/>
        <w:gridCol w:w="2640"/>
      </w:tblGrid>
      <w:tr>
        <w:trPr>
          <w:tblHeader w:val="true"/>
        </w:trPr>
        <w:tc>
          <w:tcPr>
            <w:tcW w:w="264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Effect term</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Coefficient</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P-value</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Offshore-by-post-policy differential</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0.3819</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&lt;0.001</w:t>
            </w:r>
          </w:p>
        </w:tc>
      </w:tr>
    </w:tbl>
    <w:p>
      <w:pPr>
        <w:pStyle w:val="BodyText"/>
        <w:rPr/>
      </w:pPr>
      <w:bookmarkStart w:id="26" w:name="Xab3403dffe35f0635d7bc28b35e1a5bdcb15ff2"/>
      <w:r>
        <w:rPr>
          <w:rFonts w:ascii="Liberation Serif" w:hAnsi="Liberation Serif"/>
        </w:rPr>
        <w:t>See Figure 4 in the main text for the geographic distribution of district treatment effects. Read alongside C3, this pooled interaction should be interpreted as an average offshore differential in the post period after district heterogeneity is already modeled, not as a claim that offshore status is the dominant driver of all district variation.</w:t>
      </w:r>
      <w:bookmarkEnd w:id="26"/>
    </w:p>
    <w:p>
      <w:pPr>
        <w:pStyle w:val="Heading3"/>
        <w:rPr>
          <w:rFonts w:ascii="Liberation Serif" w:hAnsi="Liberation Serif"/>
        </w:rPr>
      </w:pPr>
      <w:bookmarkStart w:id="27" w:name="c5.-h3-moderator-tests"/>
      <w:r>
        <w:rPr>
          <w:rFonts w:ascii="Liberation Serif" w:hAnsi="Liberation Serif"/>
        </w:rPr>
        <w:t>C5. H3 moderator tests</w:t>
      </w:r>
    </w:p>
    <w:p>
      <w:pPr>
        <w:pStyle w:val="FirstParagraph"/>
        <w:rPr>
          <w:rFonts w:ascii="Liberation Serif" w:hAnsi="Liberation Serif"/>
        </w:rPr>
      </w:pPr>
      <w:r>
        <w:rPr>
          <w:rFonts w:ascii="Liberation Serif" w:hAnsi="Liberation Serif"/>
        </w:rPr>
        <w:t>Main block:</w:t>
      </w:r>
    </w:p>
    <w:p>
      <w:pPr>
        <w:pStyle w:val="Compact"/>
        <w:numPr>
          <w:ilvl w:val="0"/>
          <w:numId w:val="1"/>
        </w:numPr>
        <w:rPr>
          <w:rFonts w:ascii="Liberation Serif" w:hAnsi="Liberation Serif"/>
        </w:rPr>
      </w:pPr>
      <w:r>
        <w:rPr>
          <w:rFonts w:ascii="Liberation Serif" w:hAnsi="Liberation Serif"/>
        </w:rPr>
        <w:t>H3a Capacity: -0.0188 (p=0.9415)</w:t>
      </w:r>
    </w:p>
    <w:p>
      <w:pPr>
        <w:pStyle w:val="Compact"/>
        <w:numPr>
          <w:ilvl w:val="0"/>
          <w:numId w:val="1"/>
        </w:numPr>
        <w:rPr>
          <w:rFonts w:ascii="Liberation Serif" w:hAnsi="Liberation Serif"/>
        </w:rPr>
      </w:pPr>
      <w:r>
        <w:rPr>
          <w:rFonts w:ascii="Liberation Serif" w:hAnsi="Liberation Serif"/>
        </w:rPr>
        <w:t>H3b Baseline performance: -0.0884 (p=0.7144)</w:t>
      </w:r>
    </w:p>
    <w:p>
      <w:pPr>
        <w:pStyle w:val="Compact"/>
        <w:numPr>
          <w:ilvl w:val="0"/>
          <w:numId w:val="1"/>
        </w:numPr>
        <w:rPr>
          <w:rFonts w:ascii="Liberation Serif" w:hAnsi="Liberation Serif"/>
        </w:rPr>
      </w:pPr>
      <w:r>
        <w:rPr>
          <w:rFonts w:ascii="Liberation Serif" w:hAnsi="Liberation Serif"/>
        </w:rPr>
        <w:t>H3e Border proximity: -0.2768 (p=0.3082)</w:t>
      </w:r>
    </w:p>
    <w:p>
      <w:pPr>
        <w:pStyle w:val="Compact"/>
        <w:numPr>
          <w:ilvl w:val="0"/>
          <w:numId w:val="1"/>
        </w:numPr>
        <w:rPr>
          <w:rFonts w:ascii="Liberation Serif" w:hAnsi="Liberation Serif"/>
        </w:rPr>
      </w:pPr>
      <w:r>
        <w:rPr>
          <w:rFonts w:ascii="Liberation Serif" w:hAnsi="Liberation Serif"/>
        </w:rPr>
        <w:t>H5 (same block estimate): 0.6317 (p=0.1055)</w:t>
      </w:r>
    </w:p>
    <w:p>
      <w:pPr>
        <w:pStyle w:val="FirstParagraph"/>
        <w:rPr>
          <w:rFonts w:ascii="Liberation Serif" w:hAnsi="Liberation Serif"/>
        </w:rPr>
      </w:pPr>
      <w:r>
        <w:rPr>
          <w:rFonts w:ascii="Liberation Serif" w:hAnsi="Liberation Serif"/>
        </w:rPr>
        <w:t>Deep-dive block:</w:t>
      </w:r>
    </w:p>
    <w:p>
      <w:pPr>
        <w:pStyle w:val="Compact"/>
        <w:numPr>
          <w:ilvl w:val="0"/>
          <w:numId w:val="1"/>
        </w:numPr>
        <w:rPr>
          <w:rFonts w:ascii="Liberation Serif" w:hAnsi="Liberation Serif"/>
        </w:rPr>
      </w:pPr>
      <w:r>
        <w:rPr>
          <w:rFonts w:ascii="Liberation Serif" w:hAnsi="Liberation Serif"/>
        </w:rPr>
        <w:t>H3c EJ: 0.1818 (p=0.4866)</w:t>
      </w:r>
    </w:p>
    <w:p>
      <w:pPr>
        <w:pStyle w:val="Compact"/>
        <w:numPr>
          <w:ilvl w:val="0"/>
          <w:numId w:val="1"/>
        </w:numPr>
        <w:rPr>
          <w:rFonts w:ascii="Liberation Serif" w:hAnsi="Liberation Serif"/>
        </w:rPr>
      </w:pPr>
      <w:r>
        <w:rPr>
          <w:rFonts w:ascii="Liberation Serif" w:hAnsi="Liberation Serif"/>
        </w:rPr>
        <w:t>H3f Rurality: 0.2213 (p=0.4649)</w:t>
      </w:r>
    </w:p>
    <w:p>
      <w:pPr>
        <w:pStyle w:val="Compact"/>
        <w:numPr>
          <w:ilvl w:val="0"/>
          <w:numId w:val="1"/>
        </w:numPr>
        <w:rPr>
          <w:rFonts w:ascii="Liberation Serif" w:hAnsi="Liberation Serif"/>
        </w:rPr>
      </w:pPr>
      <w:r>
        <w:rPr>
          <w:rFonts w:ascii="Liberation Serif" w:hAnsi="Liberation Serif"/>
        </w:rPr>
        <w:t>H3e Border proximity: -0.3626 (p=0.1669)</w:t>
      </w:r>
    </w:p>
    <w:p>
      <w:pPr>
        <w:pStyle w:val="Compact"/>
        <w:numPr>
          <w:ilvl w:val="0"/>
          <w:numId w:val="1"/>
        </w:numPr>
        <w:rPr>
          <w:rFonts w:ascii="Liberation Serif" w:hAnsi="Liberation Serif"/>
        </w:rPr>
      </w:pPr>
      <w:r>
        <w:rPr>
          <w:rFonts w:ascii="Liberation Serif" w:hAnsi="Liberation Serif"/>
        </w:rPr>
        <w:t>H3d Geology: mixed basin interactions, with significant terms including:</w:t>
      </w:r>
    </w:p>
    <w:p>
      <w:pPr>
        <w:pStyle w:val="Compact"/>
        <w:numPr>
          <w:ilvl w:val="1"/>
          <w:numId w:val="1"/>
        </w:numPr>
        <w:rPr/>
      </w:pPr>
      <w:r>
        <w:rPr>
          <w:rStyle w:val="VerbatimChar"/>
          <w:rFonts w:ascii="Liberation Serif" w:hAnsi="Liberation Serif"/>
        </w:rPr>
        <w:t>C(primary_basin)[0]:post_2019 = 0.5322</w:t>
      </w:r>
      <w:r>
        <w:rPr>
          <w:rFonts w:ascii="Liberation Serif" w:hAnsi="Liberation Serif"/>
        </w:rPr>
        <w:t xml:space="preserve"> (p&lt;0.001)</w:t>
      </w:r>
    </w:p>
    <w:p>
      <w:pPr>
        <w:pStyle w:val="Compact"/>
        <w:numPr>
          <w:ilvl w:val="1"/>
          <w:numId w:val="1"/>
        </w:numPr>
        <w:rPr/>
      </w:pPr>
      <w:r>
        <w:rPr>
          <w:rStyle w:val="VerbatimChar"/>
          <w:rFonts w:ascii="Liberation Serif" w:hAnsi="Liberation Serif"/>
        </w:rPr>
        <w:t>C(primary_basin)[3]:post_2019 = -0.5707</w:t>
      </w:r>
      <w:r>
        <w:rPr>
          <w:rFonts w:ascii="Liberation Serif" w:hAnsi="Liberation Serif"/>
        </w:rPr>
        <w:t xml:space="preserve"> (p&lt;0.001)</w:t>
      </w:r>
    </w:p>
    <w:p>
      <w:pPr>
        <w:pStyle w:val="FirstParagraph"/>
        <w:rPr>
          <w:rFonts w:ascii="Liberation Serif" w:hAnsi="Liberation Serif"/>
        </w:rPr>
      </w:pPr>
      <w:bookmarkStart w:id="28" w:name="appendix-c.-main-run-outputs"/>
      <w:bookmarkStart w:id="29" w:name="c5.-h3-moderator-tests"/>
      <w:r>
        <w:rPr>
          <w:rFonts w:ascii="Liberation Serif" w:hAnsi="Liberation Serif"/>
        </w:rPr>
        <w:t>Taken together, these moderator results imply that broad structural covariates provide limited explanatory leverage in this run, while basin composition remains the clearest structural correlate of differential policy response.</w:t>
      </w:r>
      <w:bookmarkEnd w:id="28"/>
      <w:bookmarkEnd w:id="29"/>
    </w:p>
    <w:p>
      <w:pPr>
        <w:pStyle w:val="Heading2"/>
        <w:rPr>
          <w:rFonts w:ascii="Liberation Serif" w:hAnsi="Liberation Serif"/>
        </w:rPr>
      </w:pPr>
      <w:bookmarkStart w:id="30" w:name="appendix-d.-spatial-test-h4"/>
      <w:r>
        <w:rPr>
          <w:rFonts w:ascii="Liberation Serif" w:hAnsi="Liberation Serif"/>
        </w:rPr>
        <w:t>Appendix D. Spatial Test (H4)</w:t>
      </w:r>
    </w:p>
    <w:p>
      <w:pPr>
        <w:pStyle w:val="FirstParagraph"/>
        <w:rPr>
          <w:rFonts w:ascii="Liberation Serif" w:hAnsi="Liberation Serif"/>
        </w:rPr>
      </w:pPr>
      <w:r>
        <w:rPr>
          <w:rFonts w:ascii="Liberation Serif" w:hAnsi="Liberation Serif"/>
        </w:rPr>
        <w:t>Moran’s I on district treatment effects:</w:t>
      </w:r>
    </w:p>
    <w:p>
      <w:pPr>
        <w:pStyle w:val="Compact"/>
        <w:numPr>
          <w:ilvl w:val="0"/>
          <w:numId w:val="1"/>
        </w:numPr>
        <w:rPr>
          <w:rFonts w:ascii="Liberation Serif" w:hAnsi="Liberation Serif"/>
        </w:rPr>
      </w:pPr>
      <w:r>
        <w:rPr>
          <w:rFonts w:ascii="Liberation Serif" w:hAnsi="Liberation Serif"/>
        </w:rPr>
        <w:t>Moran’s I = -0.0493</w:t>
      </w:r>
    </w:p>
    <w:p>
      <w:pPr>
        <w:pStyle w:val="Compact"/>
        <w:numPr>
          <w:ilvl w:val="0"/>
          <w:numId w:val="1"/>
        </w:numPr>
        <w:rPr>
          <w:rFonts w:ascii="Liberation Serif" w:hAnsi="Liberation Serif"/>
        </w:rPr>
      </w:pPr>
      <w:r>
        <w:rPr>
          <w:rFonts w:ascii="Liberation Serif" w:hAnsi="Liberation Serif"/>
        </w:rPr>
        <w:t>Permutation p-value = 0.8550</w:t>
      </w:r>
    </w:p>
    <w:p>
      <w:pPr>
        <w:pStyle w:val="FirstParagraph"/>
        <w:rPr>
          <w:rFonts w:ascii="Liberation Serif" w:hAnsi="Liberation Serif"/>
        </w:rPr>
      </w:pPr>
      <w:bookmarkStart w:id="31" w:name="appendix-d.-spatial-test-h4"/>
      <w:r>
        <w:rPr>
          <w:rFonts w:ascii="Liberation Serif" w:hAnsi="Liberation Serif"/>
        </w:rPr>
        <w:t>Conclusion: no significant global spatial autocorrelation. The sign and magnitude of Moran’s I are both small, indicating no evidence that high- or low-response districts are systematically clustered in ways consistent with regional diffusion.</w:t>
      </w:r>
      <w:bookmarkEnd w:id="31"/>
    </w:p>
    <w:p>
      <w:pPr>
        <w:pStyle w:val="Heading2"/>
        <w:rPr>
          <w:rFonts w:ascii="Liberation Serif" w:hAnsi="Liberation Serif"/>
        </w:rPr>
      </w:pPr>
      <w:bookmarkStart w:id="32" w:name="appendix-e.-robustness-tables"/>
      <w:r>
        <w:rPr>
          <w:rFonts w:ascii="Liberation Serif" w:hAnsi="Liberation Serif"/>
        </w:rPr>
        <w:t>Appendix E. Robustness Tables</w:t>
      </w:r>
    </w:p>
    <w:p>
      <w:pPr>
        <w:pStyle w:val="Heading3"/>
        <w:rPr>
          <w:rFonts w:ascii="Liberation Serif" w:hAnsi="Liberation Serif"/>
        </w:rPr>
      </w:pPr>
      <w:bookmarkStart w:id="33" w:name="Xf104e4b49dd422104942b39394f73369e05f1d9"/>
      <w:r>
        <w:rPr>
          <w:rFonts w:ascii="Liberation Serif" w:hAnsi="Liberation Serif"/>
        </w:rPr>
        <w:t>E1. Placebo policy years (all-district interrupted model)</w:t>
      </w:r>
    </w:p>
    <w:tbl>
      <w:tblPr>
        <w:tblStyle w:val="Table"/>
        <w:tblW w:w="7920" w:type="dxa"/>
        <w:jc w:val="left"/>
        <w:tblInd w:w="0" w:type="dxa"/>
        <w:tblLayout w:type="fixed"/>
        <w:tblCellMar>
          <w:top w:w="0" w:type="dxa"/>
          <w:left w:w="108" w:type="dxa"/>
          <w:bottom w:w="0" w:type="dxa"/>
          <w:right w:w="108" w:type="dxa"/>
        </w:tblCellMar>
        <w:tblLook w:val="0020" w:noHBand="0" w:noVBand="0" w:firstColumn="0" w:lastRow="0" w:lastColumn="0" w:firstRow="1"/>
      </w:tblPr>
      <w:tblGrid>
        <w:gridCol w:w="2640"/>
        <w:gridCol w:w="2640"/>
        <w:gridCol w:w="2640"/>
      </w:tblGrid>
      <w:tr>
        <w:trPr>
          <w:tblHeader w:val="true"/>
        </w:trPr>
        <w:tc>
          <w:tcPr>
            <w:tcW w:w="264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Placebo year</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Estimated level shift</w:t>
            </w:r>
          </w:p>
        </w:tc>
        <w:tc>
          <w:tcPr>
            <w:tcW w:w="2640" w:type="dxa"/>
            <w:tcBorders>
              <w:bottom w:val="single" w:sz="6" w:space="0" w:color="000000"/>
            </w:tcBorders>
            <w:vAlign w:val="bottom"/>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P-value</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2017</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0.6565</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0.0020</w:t>
            </w:r>
          </w:p>
        </w:tc>
      </w:tr>
      <w:tr>
        <w:trPr/>
        <w:tc>
          <w:tcPr>
            <w:tcW w:w="264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2021</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-0.0245</w:t>
            </w:r>
          </w:p>
        </w:tc>
        <w:tc>
          <w:tcPr>
            <w:tcW w:w="2640" w:type="dxa"/>
            <w:tcBorders/>
          </w:tcPr>
          <w:p>
            <w:pPr>
              <w:pStyle w:val="Compact"/>
              <w:widowControl/>
              <w:spacing w:before="36" w:after="36"/>
              <w:jc w:val="righ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0.9191</w:t>
            </w:r>
          </w:p>
        </w:tc>
      </w:tr>
    </w:tbl>
    <w:p>
      <w:pPr>
        <w:pStyle w:val="BodyText"/>
        <w:rPr>
          <w:rFonts w:ascii="Liberation Serif" w:hAnsi="Liberation Serif"/>
        </w:rPr>
      </w:pPr>
      <w:bookmarkStart w:id="34" w:name="Xf104e4b49dd422104942b39394f73369e05f1d9"/>
      <w:r>
        <w:rPr>
          <w:rFonts w:ascii="Liberation Serif" w:hAnsi="Liberation Serif"/>
        </w:rPr>
        <w:t>The significant 2017 placebo estimate suggests that single-cut timing designs can produce spurious break effects, which is why the main analysis emphasizes trend-change evidence and event-study diagnostics instead of level shifts alone.</w:t>
      </w:r>
      <w:bookmarkEnd w:id="34"/>
    </w:p>
    <w:p>
      <w:pPr>
        <w:pStyle w:val="Heading3"/>
        <w:rPr>
          <w:rFonts w:ascii="Liberation Serif" w:hAnsi="Liberation Serif"/>
        </w:rPr>
      </w:pPr>
      <w:bookmarkStart w:id="35" w:name="X9dbd9d9e44b2dc0f85e74ea2846d9e6ae5ccc61"/>
      <w:r>
        <w:rPr>
          <w:rFonts w:ascii="Liberation Serif" w:hAnsi="Liberation Serif"/>
        </w:rPr>
        <w:t>E2. Alternative outcomes (all-district interrupted model)</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3120"/>
        <w:gridCol w:w="3120"/>
        <w:gridCol w:w="3120"/>
      </w:tblGrid>
      <w:tr>
        <w:trPr>
          <w:tblHeader w:val="true"/>
        </w:trPr>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Outcome</w:t>
            </w:r>
          </w:p>
        </w:tc>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Immediate post-policy level effect (p)</w:t>
            </w:r>
          </w:p>
        </w:tc>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Post-policy trend effect (p)</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Resolution rate</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4.3721 (0.2104)</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-2.9371 (0.1424)</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Compliance rate</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-0.1311 (0.9316)</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-0.5562 (0.1870)</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Violations per inspection</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-0.0082 (0.6690)</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0.0106 (0.0600)</w:t>
            </w:r>
          </w:p>
        </w:tc>
      </w:tr>
    </w:tbl>
    <w:p>
      <w:pPr>
        <w:pStyle w:val="BodyText"/>
        <w:rPr>
          <w:rFonts w:ascii="Liberation Serif" w:hAnsi="Liberation Serif"/>
        </w:rPr>
      </w:pPr>
      <w:bookmarkStart w:id="36" w:name="X9dbd9d9e44b2dc0f85e74ea2846d9e6ae5ccc61"/>
      <w:r>
        <w:rPr>
          <w:rFonts w:ascii="Liberation Serif" w:hAnsi="Liberation Serif"/>
        </w:rPr>
        <w:t>This table shows that timing acceleration does not mechanically translate into improvements across all compliance-oriented outcomes in the same period, highlighting outcome-specific channels of policy response.</w:t>
      </w:r>
      <w:bookmarkEnd w:id="36"/>
    </w:p>
    <w:p>
      <w:pPr>
        <w:pStyle w:val="Heading3"/>
        <w:rPr>
          <w:rFonts w:ascii="Liberation Serif" w:hAnsi="Liberation Serif"/>
        </w:rPr>
      </w:pPr>
      <w:bookmarkStart w:id="37" w:name="X7791a83fd9b219156b6ad8c6282a2793127770a"/>
      <w:r>
        <w:rPr>
          <w:rFonts w:ascii="Liberation Serif" w:hAnsi="Liberation Serif"/>
        </w:rPr>
        <w:t>E3. Sample restrictions (all-district interrupted model)</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3120"/>
        <w:gridCol w:w="3120"/>
        <w:gridCol w:w="3120"/>
      </w:tblGrid>
      <w:tr>
        <w:trPr>
          <w:tblHeader w:val="true"/>
        </w:trPr>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Restriction</w:t>
            </w:r>
          </w:p>
        </w:tc>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Immediate post-policy level effect (p)</w:t>
            </w:r>
          </w:p>
        </w:tc>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Post-policy trend effect (p)</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Full sample</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0.1514 (0.3294)</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-0.3603 (0.0010)</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Exclude extreme districts</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0.1917 (0.1930)</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-0.2972 (0.0133)</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Exclude 2015-2016</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0.1942 (0.1958)</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-0.2313 (0.0950)</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Exclude 2020-2021</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0.1516 (0.2959)</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-0.3599 (0.0016)</w:t>
            </w:r>
          </w:p>
        </w:tc>
      </w:tr>
    </w:tbl>
    <w:p>
      <w:pPr>
        <w:pStyle w:val="BodyText"/>
        <w:rPr>
          <w:rFonts w:ascii="Liberation Serif" w:hAnsi="Liberation Serif"/>
        </w:rPr>
      </w:pPr>
      <w:bookmarkStart w:id="38" w:name="X7791a83fd9b219156b6ad8c6282a2793127770a"/>
      <w:r>
        <w:rPr>
          <w:rFonts w:ascii="Liberation Serif" w:hAnsi="Liberation Serif"/>
        </w:rPr>
        <w:t>Across restrictions, the post-trend estimate remains negative and generally significant, while the post level term stays weak. This stability is central to the article’s interpretation of gradual policy-induced acceleration.</w:t>
      </w:r>
      <w:bookmarkEnd w:id="38"/>
    </w:p>
    <w:p>
      <w:pPr>
        <w:pStyle w:val="Heading3"/>
        <w:rPr>
          <w:rFonts w:ascii="Liberation Serif" w:hAnsi="Liberation Serif"/>
        </w:rPr>
      </w:pPr>
      <w:bookmarkStart w:id="39" w:name="e4.-specification-sensitivity"/>
      <w:r>
        <w:rPr>
          <w:rFonts w:ascii="Liberation Serif" w:hAnsi="Liberation Serif"/>
        </w:rPr>
        <w:t>E4. Specification sensitivity</w:t>
      </w:r>
    </w:p>
    <w:tbl>
      <w:tblPr>
        <w:tblStyle w:val="Table"/>
        <w:tblW w:w="5000" w:type="pct"/>
        <w:jc w:val="left"/>
        <w:tblInd w:w="0" w:type="dxa"/>
        <w:tblLayout w:type="fixed"/>
        <w:tblCellMar>
          <w:top w:w="0" w:type="dxa"/>
          <w:left w:w="108" w:type="dxa"/>
          <w:bottom w:w="0" w:type="dxa"/>
          <w:right w:w="108" w:type="dxa"/>
        </w:tblCellMar>
        <w:tblLook w:val="0020" w:noHBand="0" w:noVBand="0" w:firstColumn="0" w:lastRow="0" w:lastColumn="0" w:firstRow="1"/>
      </w:tblPr>
      <w:tblGrid>
        <w:gridCol w:w="3120"/>
        <w:gridCol w:w="3120"/>
        <w:gridCol w:w="3120"/>
      </w:tblGrid>
      <w:tr>
        <w:trPr>
          <w:tblHeader w:val="true"/>
        </w:trPr>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Specification</w:t>
            </w:r>
          </w:p>
        </w:tc>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Immediate post-policy level effect</w:t>
            </w:r>
          </w:p>
        </w:tc>
        <w:tc>
          <w:tcPr>
            <w:tcW w:w="3120" w:type="dxa"/>
            <w:tcBorders>
              <w:bottom w:val="single" w:sz="6" w:space="0" w:color="000000"/>
            </w:tcBorders>
            <w:vAlign w:val="bottom"/>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Post-policy trend effect</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Linear interrupted</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-41.9298 (p=0.3104)</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-67.0420 (p=0.0100)</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Winsorized interrupted</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0.2137 (p=0.1021)</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-0.3147 (p=0.0016)</w:t>
            </w:r>
          </w:p>
        </w:tc>
      </w:tr>
      <w:tr>
        <w:trPr/>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Year FE + district post terms</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13 interaction terms</w:t>
            </w:r>
          </w:p>
        </w:tc>
        <w:tc>
          <w:tcPr>
            <w:tcW w:w="3120" w:type="dxa"/>
            <w:tcBorders/>
          </w:tcPr>
          <w:p>
            <w:pPr>
              <w:pStyle w:val="Compact"/>
              <w:widowControl/>
              <w:spacing w:before="36" w:after="36"/>
              <w:jc w:val="left"/>
              <w:rPr>
                <w:rFonts w:ascii="Liberation Serif" w:hAnsi="Liberation Serif" w:eastAsia="Aptos" w:cs=""/>
                <w:kern w:val="0"/>
                <w:sz w:val="24"/>
                <w:szCs w:val="24"/>
                <w:lang w:val="en-US" w:eastAsia="en-US" w:bidi="ar-SA"/>
              </w:rPr>
            </w:pPr>
            <w:r>
              <w:rPr>
                <w:rFonts w:eastAsia="Aptos" w:cs="" w:ascii="Liberation Serif" w:hAnsi="Liberation Serif"/>
                <w:kern w:val="0"/>
                <w:sz w:val="24"/>
                <w:szCs w:val="24"/>
                <w:lang w:val="en-US" w:eastAsia="en-US" w:bidi="ar-SA"/>
              </w:rPr>
              <w:t>N/A</w:t>
            </w:r>
          </w:p>
        </w:tc>
      </w:tr>
    </w:tbl>
    <w:p>
      <w:pPr>
        <w:pStyle w:val="BodyText"/>
        <w:rPr>
          <w:rFonts w:ascii="Liberation Serif" w:hAnsi="Liberation Serif"/>
        </w:rPr>
      </w:pPr>
      <w:bookmarkStart w:id="40" w:name="appendix-e.-robustness-tables"/>
      <w:bookmarkStart w:id="41" w:name="e4.-specification-sensitivity"/>
      <w:r>
        <w:rPr>
          <w:rFonts w:ascii="Liberation Serif" w:hAnsi="Liberation Serif"/>
        </w:rPr>
        <w:t>Specification checks again point to the same empirical hierarchy: slope effects are more robust than level effects, and district-specific post terms remain necessary to represent the observed heterogeneity.</w:t>
      </w:r>
      <w:bookmarkEnd w:id="40"/>
      <w:bookmarkEnd w:id="41"/>
    </w:p>
    <w:p>
      <w:pPr>
        <w:pStyle w:val="Heading2"/>
        <w:rPr>
          <w:rFonts w:ascii="Liberation Serif" w:hAnsi="Liberation Serif"/>
        </w:rPr>
      </w:pPr>
      <w:bookmarkStart w:id="42" w:name="appendix-f.-interpretation-notes"/>
      <w:r>
        <w:rPr>
          <w:rFonts w:ascii="Liberation Serif" w:hAnsi="Liberation Serif"/>
        </w:rPr>
        <w:t>Appendix F. Interpretation Notes</w:t>
      </w:r>
    </w:p>
    <w:p>
      <w:pPr>
        <w:pStyle w:val="Compact"/>
        <w:numPr>
          <w:ilvl w:val="0"/>
          <w:numId w:val="8"/>
        </w:numPr>
        <w:rPr>
          <w:rFonts w:ascii="Liberation Serif" w:hAnsi="Liberation Serif"/>
        </w:rPr>
      </w:pPr>
      <w:r>
        <w:rPr>
          <w:rFonts w:ascii="Liberation Serif" w:hAnsi="Liberation Serif"/>
        </w:rPr>
        <w:t>The strongest system-wide evidence in this run is a post-policy slope change, not a one-time 2019 level shift.</w:t>
      </w:r>
    </w:p>
    <w:p>
      <w:pPr>
        <w:pStyle w:val="Compact"/>
        <w:numPr>
          <w:ilvl w:val="0"/>
          <w:numId w:val="6"/>
        </w:numPr>
        <w:rPr>
          <w:rFonts w:ascii="Liberation Serif" w:hAnsi="Liberation Serif"/>
        </w:rPr>
      </w:pPr>
      <w:r>
        <w:rPr>
          <w:rFonts w:ascii="Liberation Serif" w:hAnsi="Liberation Serif"/>
        </w:rPr>
        <w:t>District heterogeneity is substantial and statistically material.</w:t>
      </w:r>
    </w:p>
    <w:p>
      <w:pPr>
        <w:pStyle w:val="Compact"/>
        <w:numPr>
          <w:ilvl w:val="0"/>
          <w:numId w:val="6"/>
        </w:numPr>
        <w:rPr>
          <w:rFonts w:ascii="Liberation Serif" w:hAnsi="Liberation Serif"/>
        </w:rPr>
      </w:pPr>
      <w:r>
        <w:rPr>
          <w:rFonts w:ascii="Liberation Serif" w:hAnsi="Liberation Serif"/>
        </w:rPr>
        <w:t>Offshore jurisdiction contributes meaningfully in conditional models, but placebo behavior indicates caution in purely timing-based causal claims.</w:t>
      </w:r>
    </w:p>
    <w:p>
      <w:pPr>
        <w:pStyle w:val="Compact"/>
        <w:numPr>
          <w:ilvl w:val="0"/>
          <w:numId w:val="6"/>
        </w:numPr>
        <w:spacing w:before="36" w:after="36"/>
        <w:rPr>
          <w:rFonts w:ascii="Liberation Serif" w:hAnsi="Liberation Serif"/>
        </w:rPr>
      </w:pPr>
      <w:bookmarkStart w:id="43" w:name="X45927b76577f605e136f8a6838070ee872ca322"/>
      <w:bookmarkStart w:id="44" w:name="appendix-f.-interpretation-notes"/>
      <w:r>
        <w:rPr>
          <w:rFonts w:ascii="Liberation Serif" w:hAnsi="Liberation Serif"/>
        </w:rPr>
        <w:t>Spatial diffusion is not supported by global autocorrelation tests.</w:t>
      </w:r>
      <w:bookmarkEnd w:id="43"/>
      <w:bookmarkEnd w:id="44"/>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ptos">
    <w:charset w:val="01"/>
    <w:family w:val="roman"/>
    <w:pitch w:val="variable"/>
  </w:font>
  <w:font w:name="Aptos Display">
    <w:charset w:val="01"/>
    <w:family w:val="roman"/>
    <w:pitch w:val="variable"/>
  </w:font>
  <w:font w:name="Consolas">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5">
    <w:lvl w:ilvl="0">
      <w:numFmt w:val="bullet"/>
      <w:lvlText w:val=""/>
      <w:lvlJc w:val="left"/>
      <w:pPr>
        <w:tabs>
          <w:tab w:val="num" w:pos="0"/>
        </w:tabs>
        <w:ind w:left="720" w:hanging="360"/>
      </w:pPr>
      <w:rPr>
        <w:rFonts w:ascii="Symbol" w:hAnsi="Symbol" w:cs="Symbol" w:hint="default"/>
      </w:rPr>
    </w:lvl>
    <w:lvl w:ilvl="1">
      <w:start w:val="0"/>
      <w:numFmt w:val="bullet"/>
      <w:lvlText w:val="o"/>
      <w:lvlJc w:val="left"/>
      <w:pPr>
        <w:tabs>
          <w:tab w:val="num" w:pos="0"/>
        </w:tabs>
        <w:ind w:left="1440" w:hanging="360"/>
      </w:pPr>
      <w:rPr>
        <w:rFonts w:ascii="Courier New" w:hAnsi="Courier New" w:cs="Courier New"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Courier New" w:hAnsi="Courier New" w:cs="Courier New"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Courier New" w:hAnsi="Courier New" w:cs="Courier New"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6">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6"/>
    <w:lvlOverride w:ilvl="0">
      <w:startOverride w:val="1"/>
    </w:lvlOverride>
  </w:num>
</w:numbering>
</file>

<file path=word/settings.xml><?xml version="1.0" encoding="utf-8"?>
<w:settings xmlns:w="http://schemas.openxmlformats.org/wordprocessingml/2006/main">
  <w:zoom w:percent="100"/>
  <w:embedSystemFonts/>
  <w:defaultTabStop w:val="720"/>
  <w:autoHyphenation w:val="true"/>
  <w:hyphenationZone w:val="0"/>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Aptos" w:hAnsi="Aptos" w:eastAsia="Aptos" w:cs="" w:asciiTheme="minorHAnsi" w:cstheme="minorBidi" w:eastAsiaTheme="minorHAnsi" w:hAnsiTheme="minorHAnsi"/>
      <w:color w:val="auto"/>
      <w:kern w:val="0"/>
      <w:sz w:val="24"/>
      <w:szCs w:val="24"/>
      <w:lang w:val="en-US" w:eastAsia="en-US" w:bidi="ar-SA"/>
    </w:rPr>
  </w:style>
  <w:style w:type="paragraph" w:styleId="Heading1">
    <w:name w:val="heading 1"/>
    <w:basedOn w:val="Normal"/>
    <w:next w:val="BodyText"/>
    <w:link w:val="Heading1Char"/>
    <w:uiPriority w:val="9"/>
    <w:qFormat/>
    <w:rsid w:val="00a10fd9"/>
    <w:pPr>
      <w:keepNext w:val="true"/>
      <w:keepLines/>
      <w:spacing w:before="360" w:after="80"/>
      <w:outlineLvl w:val="0"/>
    </w:pPr>
    <w:rPr>
      <w:rFonts w:ascii="Aptos Display" w:hAnsi="Aptos Display" w:eastAsia="" w:cs="" w:asciiTheme="majorHAnsi" w:cstheme="majorBidi" w:eastAsiaTheme="majorEastAsia" w:hAnsiTheme="majorHAnsi"/>
      <w:color w:themeColor="accent1" w:themeShade="bf" w:val="0F4761"/>
      <w:sz w:val="40"/>
      <w:szCs w:val="40"/>
    </w:rPr>
  </w:style>
  <w:style w:type="paragraph" w:styleId="Heading2">
    <w:name w:val="heading 2"/>
    <w:basedOn w:val="Normal"/>
    <w:next w:val="BodyText"/>
    <w:link w:val="Heading2Char"/>
    <w:uiPriority w:val="9"/>
    <w:semiHidden/>
    <w:unhideWhenUsed/>
    <w:qFormat/>
    <w:rsid w:val="00a10fd9"/>
    <w:pPr>
      <w:keepNext w:val="true"/>
      <w:keepLines/>
      <w:spacing w:before="160" w:after="80"/>
      <w:outlineLvl w:val="1"/>
    </w:pPr>
    <w:rPr>
      <w:rFonts w:ascii="Aptos Display" w:hAnsi="Aptos Display" w:eastAsia="" w:cs="" w:asciiTheme="majorHAnsi" w:cstheme="majorBidi" w:eastAsiaTheme="majorEastAsia" w:hAnsiTheme="majorHAnsi"/>
      <w:color w:themeColor="accent1" w:themeShade="bf" w:val="0F4761"/>
      <w:sz w:val="32"/>
      <w:szCs w:val="32"/>
    </w:rPr>
  </w:style>
  <w:style w:type="paragraph" w:styleId="Heading3">
    <w:name w:val="heading 3"/>
    <w:basedOn w:val="Normal"/>
    <w:next w:val="BodyText"/>
    <w:link w:val="Heading3Char"/>
    <w:uiPriority w:val="9"/>
    <w:semiHidden/>
    <w:unhideWhenUsed/>
    <w:qFormat/>
    <w:rsid w:val="00a10fd9"/>
    <w:pPr>
      <w:keepNext w:val="true"/>
      <w:keepLines/>
      <w:spacing w:before="160" w:after="80"/>
      <w:outlineLvl w:val="2"/>
    </w:pPr>
    <w:rPr>
      <w:rFonts w:eastAsia="" w:cs="" w:cstheme="majorBidi" w:eastAsiaTheme="majorEastAsia"/>
      <w:color w:themeColor="accent1" w:themeShade="bf" w:val="0F4761"/>
      <w:sz w:val="28"/>
      <w:szCs w:val="28"/>
    </w:rPr>
  </w:style>
  <w:style w:type="paragraph" w:styleId="Heading4">
    <w:name w:val="heading 4"/>
    <w:basedOn w:val="Normal"/>
    <w:next w:val="BodyText"/>
    <w:link w:val="Heading4Char"/>
    <w:uiPriority w:val="9"/>
    <w:semiHidden/>
    <w:unhideWhenUsed/>
    <w:qFormat/>
    <w:rsid w:val="00a10fd9"/>
    <w:pPr>
      <w:keepNext w:val="true"/>
      <w:keepLines/>
      <w:spacing w:before="80" w:after="40"/>
      <w:outlineLvl w:val="3"/>
    </w:pPr>
    <w:rPr>
      <w:rFonts w:eastAsia="" w:cs="" w:cstheme="majorBidi" w:eastAsiaTheme="majorEastAsia"/>
      <w:i/>
      <w:iCs/>
      <w:color w:themeColor="accent1" w:themeShade="bf" w:val="0F4761"/>
    </w:rPr>
  </w:style>
  <w:style w:type="paragraph" w:styleId="Heading5">
    <w:name w:val="heading 5"/>
    <w:basedOn w:val="Normal"/>
    <w:next w:val="BodyText"/>
    <w:link w:val="Heading5Char"/>
    <w:uiPriority w:val="9"/>
    <w:semiHidden/>
    <w:unhideWhenUsed/>
    <w:qFormat/>
    <w:rsid w:val="00a10fd9"/>
    <w:pPr>
      <w:keepNext w:val="true"/>
      <w:keepLines/>
      <w:spacing w:before="80" w:after="40"/>
      <w:outlineLvl w:val="4"/>
    </w:pPr>
    <w:rPr>
      <w:rFonts w:eastAsia="" w:cs="" w:cstheme="majorBidi" w:eastAsiaTheme="majorEastAsia"/>
      <w:color w:themeColor="accent1" w:themeShade="bf" w:val="0F4761"/>
    </w:rPr>
  </w:style>
  <w:style w:type="paragraph" w:styleId="Heading6">
    <w:name w:val="heading 6"/>
    <w:basedOn w:val="Normal"/>
    <w:next w:val="BodyText"/>
    <w:link w:val="Heading6Char"/>
    <w:uiPriority w:val="9"/>
    <w:semiHidden/>
    <w:unhideWhenUsed/>
    <w:qFormat/>
    <w:rsid w:val="00a10fd9"/>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BodyText"/>
    <w:link w:val="Heading7Char"/>
    <w:uiPriority w:val="9"/>
    <w:semiHidden/>
    <w:unhideWhenUsed/>
    <w:qFormat/>
    <w:rsid w:val="00a10fd9"/>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BodyText"/>
    <w:link w:val="Heading8Char"/>
    <w:uiPriority w:val="9"/>
    <w:semiHidden/>
    <w:unhideWhenUsed/>
    <w:qFormat/>
    <w:rsid w:val="00a10fd9"/>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BodyText"/>
    <w:link w:val="Heading9Char"/>
    <w:uiPriority w:val="9"/>
    <w:semiHidden/>
    <w:unhideWhenUsed/>
    <w:qFormat/>
    <w:rsid w:val="00a10fd9"/>
    <w:pPr>
      <w:keepNext w:val="true"/>
      <w:keepLines/>
      <w:spacing w:before="0" w:after="0"/>
      <w:outlineLvl w:val="8"/>
    </w:pPr>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a10fd9"/>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a10fd9"/>
    <w:rPr>
      <w:rFonts w:eastAsia="" w:cs="" w:cstheme="majorBidi" w:eastAsiaTheme="majorEastAsia"/>
      <w:color w:themeColor="text1" w:themeTint="a6" w:val="595959"/>
      <w:spacing w:val="15"/>
      <w:sz w:val="28"/>
      <w:szCs w:val="28"/>
    </w:rPr>
  </w:style>
  <w:style w:type="character" w:styleId="Heading1Char" w:customStyle="1">
    <w:name w:val="Heading 1 Char"/>
    <w:basedOn w:val="DefaultParagraphFont"/>
    <w:link w:val="Heading1"/>
    <w:uiPriority w:val="9"/>
    <w:qFormat/>
    <w:rsid w:val="00a10fd9"/>
    <w:rPr>
      <w:rFonts w:ascii="Aptos Display" w:hAnsi="Aptos Display" w:eastAsia="" w:cs="" w:asciiTheme="majorHAnsi" w:cstheme="majorBidi" w:eastAsiaTheme="majorEastAsia" w:hAnsiTheme="majorHAnsi"/>
      <w:color w:themeColor="accent1" w:themeShade="bf" w:val="0F4761"/>
      <w:sz w:val="40"/>
      <w:szCs w:val="40"/>
    </w:rPr>
  </w:style>
  <w:style w:type="character" w:styleId="Heading2Char" w:customStyle="1">
    <w:name w:val="Heading 2 Char"/>
    <w:basedOn w:val="DefaultParagraphFont"/>
    <w:link w:val="Heading2"/>
    <w:uiPriority w:val="9"/>
    <w:semiHidden/>
    <w:qFormat/>
    <w:rsid w:val="00a10fd9"/>
    <w:rPr>
      <w:rFonts w:ascii="Aptos Display" w:hAnsi="Aptos Display" w:eastAsia="" w:cs="" w:asciiTheme="majorHAnsi" w:cstheme="majorBidi" w:eastAsiaTheme="majorEastAsia" w:hAnsiTheme="majorHAnsi"/>
      <w:color w:themeColor="accent1" w:themeShade="bf" w:val="0F4761"/>
      <w:sz w:val="32"/>
      <w:szCs w:val="32"/>
    </w:rPr>
  </w:style>
  <w:style w:type="character" w:styleId="Heading3Char" w:customStyle="1">
    <w:name w:val="Heading 3 Char"/>
    <w:basedOn w:val="DefaultParagraphFont"/>
    <w:link w:val="Heading3"/>
    <w:uiPriority w:val="9"/>
    <w:semiHidden/>
    <w:qFormat/>
    <w:rsid w:val="00a10fd9"/>
    <w:rPr>
      <w:rFonts w:eastAsia="" w:cs="" w:cstheme="majorBidi" w:eastAsiaTheme="majorEastAsia"/>
      <w:color w:themeColor="accent1" w:themeShade="bf" w:val="0F4761"/>
      <w:sz w:val="28"/>
      <w:szCs w:val="28"/>
    </w:rPr>
  </w:style>
  <w:style w:type="character" w:styleId="Heading4Char" w:customStyle="1">
    <w:name w:val="Heading 4 Char"/>
    <w:basedOn w:val="DefaultParagraphFont"/>
    <w:link w:val="Heading4"/>
    <w:uiPriority w:val="9"/>
    <w:semiHidden/>
    <w:qFormat/>
    <w:rsid w:val="00a10fd9"/>
    <w:rPr>
      <w:rFonts w:eastAsia="" w:cs="" w:cstheme="majorBidi" w:eastAsiaTheme="majorEastAsia"/>
      <w:i/>
      <w:iCs/>
      <w:color w:themeColor="accent1" w:themeShade="bf" w:val="0F4761"/>
    </w:rPr>
  </w:style>
  <w:style w:type="character" w:styleId="Heading5Char" w:customStyle="1">
    <w:name w:val="Heading 5 Char"/>
    <w:basedOn w:val="DefaultParagraphFont"/>
    <w:link w:val="Heading5"/>
    <w:uiPriority w:val="9"/>
    <w:semiHidden/>
    <w:qFormat/>
    <w:rsid w:val="00a10fd9"/>
    <w:rPr>
      <w:rFonts w:eastAsia="" w:cs="" w:cstheme="majorBidi" w:eastAsiaTheme="majorEastAsia"/>
      <w:color w:themeColor="accent1" w:themeShade="bf" w:val="0F4761"/>
    </w:rPr>
  </w:style>
  <w:style w:type="character" w:styleId="Heading6Char" w:customStyle="1">
    <w:name w:val="Heading 6 Char"/>
    <w:basedOn w:val="DefaultParagraphFont"/>
    <w:link w:val="Heading6"/>
    <w:uiPriority w:val="9"/>
    <w:semiHidden/>
    <w:qFormat/>
    <w:rsid w:val="00a10fd9"/>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a10fd9"/>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a10fd9"/>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a10fd9"/>
    <w:rPr>
      <w:rFonts w:eastAsia="" w:cs="" w:cstheme="majorBidi" w:eastAsiaTheme="majorEastAsia"/>
      <w:color w:themeColor="text1" w:themeTint="d8" w:val="272727"/>
    </w:rPr>
  </w:style>
  <w:style w:type="character" w:styleId="DefaultParagraphFont" w:default="1">
    <w:name w:val="Default Paragraph Font"/>
    <w:semiHidden/>
    <w:unhideWhenUsed/>
    <w:qFormat/>
    <w:rPr/>
  </w:style>
  <w:style w:type="character" w:styleId="BodyTextChar" w:customStyle="1">
    <w:name w:val="Body Text Char"/>
    <w:basedOn w:val="DefaultParagraphFont"/>
    <w:qFormat/>
    <w:rPr/>
  </w:style>
  <w:style w:type="character" w:styleId="VerbatimChar" w:customStyle="1">
    <w:name w:val="Verbatim Char"/>
    <w:basedOn w:val="BodyTextChar"/>
    <w:qFormat/>
    <w:rPr>
      <w:rFonts w:ascii="Consolas" w:hAnsi="Consolas"/>
      <w:sz w:val="22"/>
    </w:rPr>
  </w:style>
  <w:style w:type="character" w:styleId="SectionNumber" w:customStyle="1">
    <w:name w:val="Section Number"/>
    <w:basedOn w:val="BodyTextChar"/>
    <w:qFormat/>
    <w:rPr/>
  </w:style>
  <w:style w:type="character" w:styleId="FootnoteCharacters">
    <w:name w:val="Footnote Characters"/>
    <w:basedOn w:val="BodyTextChar"/>
    <w:qFormat/>
    <w:rPr>
      <w:vertAlign w:val="superscript"/>
    </w:rPr>
  </w:style>
  <w:style w:type="character" w:styleId="FootnoteReference">
    <w:name w:val="footnote reference"/>
    <w:rPr>
      <w:vertAlign w:val="superscript"/>
    </w:rPr>
  </w:style>
  <w:style w:type="character" w:styleId="Hyperlink">
    <w:name w:val="Hyperlink"/>
    <w:basedOn w:val="BodyTextChar"/>
    <w:rPr>
      <w:color w:themeColor="accent1" w:val="4F81BD"/>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b/>
      <w:color w:val="008000"/>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color w:val="008000"/>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paragraph" w:styleId="Heading">
    <w:name w:val="Heading"/>
    <w:basedOn w:val="Normal"/>
    <w:next w:val="BodyText"/>
    <w:qFormat/>
    <w:pPr>
      <w:keepNext w:val="true"/>
      <w:spacing w:before="240" w:after="120"/>
    </w:pPr>
    <w:rPr>
      <w:rFonts w:ascii="Liberation Sans" w:hAnsi="Liberation Sans" w:eastAsia="Noto Sans" w:cs="Noto Sans Devanagari"/>
      <w:sz w:val="28"/>
      <w:szCs w:val="28"/>
    </w:rPr>
  </w:style>
  <w:style w:type="paragraph" w:styleId="BodyText">
    <w:name w:val="Body Text"/>
    <w:basedOn w:val="Normal"/>
    <w:link w:val="BodyTextChar"/>
    <w:qFormat/>
    <w:pPr>
      <w:spacing w:before="180" w:after="180"/>
    </w:pPr>
    <w:rPr/>
  </w:style>
  <w:style w:type="paragraph" w:styleId="List">
    <w:name w:val="List"/>
    <w:basedOn w:val="BodyText"/>
    <w:pPr/>
    <w:rPr>
      <w:rFonts w:cs="Noto Sans Devanagari"/>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Noto Sans Devanagari"/>
    </w:rPr>
  </w:style>
  <w:style w:type="paragraph" w:styleId="FirstParagraph" w:customStyle="1">
    <w:name w:val="First Paragraph"/>
    <w:basedOn w:val="BodyText"/>
    <w:next w:val="BodyText"/>
    <w:qFormat/>
    <w:pPr/>
    <w:rPr/>
  </w:style>
  <w:style w:type="paragraph" w:styleId="Compact" w:customStyle="1">
    <w:name w:val="Compact"/>
    <w:basedOn w:val="BodyText"/>
    <w:qFormat/>
    <w:pPr>
      <w:spacing w:before="36" w:after="36"/>
    </w:pPr>
    <w:rPr/>
  </w:style>
  <w:style w:type="paragraph" w:styleId="Title">
    <w:name w:val="Title"/>
    <w:basedOn w:val="Normal"/>
    <w:next w:val="BodyText"/>
    <w:link w:val="TitleChar"/>
    <w:uiPriority w:val="10"/>
    <w:qFormat/>
    <w:rsid w:val="00a10fd9"/>
    <w:pPr>
      <w:spacing w:lineRule="auto" w:line="240" w:before="0" w:after="80"/>
      <w:contextualSpacing/>
      <w:jc w:val="center"/>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Title"/>
    <w:next w:val="BodyText"/>
    <w:link w:val="SubtitleChar"/>
    <w:uiPriority w:val="11"/>
    <w:qFormat/>
    <w:rsid w:val="00a10fd9"/>
    <w:pPr/>
    <w:rPr>
      <w:rFonts w:eastAsia="" w:cs="" w:cstheme="majorBidi" w:eastAsiaTheme="majorEastAsia"/>
      <w:spacing w:val="15"/>
      <w:sz w:val="28"/>
      <w:szCs w:val="28"/>
    </w:rPr>
  </w:style>
  <w:style w:type="paragraph" w:styleId="Author" w:customStyle="1">
    <w:name w:val="Author"/>
    <w:next w:val="BodyText"/>
    <w:qFormat/>
    <w:pPr>
      <w:keepNext w:val="true"/>
      <w:keepLines/>
      <w:widowControl/>
      <w:bidi w:val="0"/>
      <w:spacing w:before="0" w:after="200"/>
      <w:jc w:val="center"/>
    </w:pPr>
    <w:rPr>
      <w:rFonts w:ascii="Aptos" w:hAnsi="Aptos" w:eastAsia="Aptos" w:cs="" w:asciiTheme="minorHAnsi" w:cstheme="minorBidi" w:eastAsiaTheme="minorHAnsi" w:hAnsiTheme="minorHAnsi"/>
      <w:color w:val="auto"/>
      <w:kern w:val="0"/>
      <w:sz w:val="24"/>
      <w:szCs w:val="24"/>
      <w:lang w:val="en-US" w:eastAsia="en-US" w:bidi="ar-SA"/>
    </w:rPr>
  </w:style>
  <w:style w:type="paragraph" w:styleId="Date">
    <w:name w:val="Date"/>
    <w:next w:val="BodyText"/>
    <w:qFormat/>
    <w:pPr>
      <w:keepNext w:val="true"/>
      <w:keepLines/>
      <w:widowControl/>
      <w:bidi w:val="0"/>
      <w:spacing w:before="0" w:after="200"/>
      <w:jc w:val="center"/>
    </w:pPr>
    <w:rPr>
      <w:rFonts w:ascii="Aptos" w:hAnsi="Aptos" w:eastAsia="Aptos" w:cs="" w:asciiTheme="minorHAnsi" w:cstheme="minorBidi" w:eastAsiaTheme="minorHAnsi" w:hAnsiTheme="minorHAnsi"/>
      <w:color w:val="auto"/>
      <w:kern w:val="0"/>
      <w:sz w:val="24"/>
      <w:szCs w:val="24"/>
      <w:lang w:val="en-US" w:eastAsia="en-US" w:bidi="ar-SA"/>
    </w:rPr>
  </w:style>
  <w:style w:type="paragraph" w:styleId="AbstractTitle" w:customStyle="1">
    <w:name w:val="Abstract Title"/>
    <w:basedOn w:val="Normal"/>
    <w:next w:val="Abstract"/>
    <w:qFormat/>
    <w:pPr>
      <w:keepNext w:val="true"/>
      <w:keepLines/>
      <w:spacing w:before="300" w:after="0"/>
      <w:jc w:val="center"/>
    </w:pPr>
    <w:rPr>
      <w:b/>
      <w:sz w:val="20"/>
      <w:szCs w:val="20"/>
    </w:rPr>
  </w:style>
  <w:style w:type="paragraph" w:styleId="Abstract" w:customStyle="1">
    <w:name w:val="Abstract"/>
    <w:basedOn w:val="Normal"/>
    <w:next w:val="BodyText"/>
    <w:qFormat/>
    <w:pPr>
      <w:keepNext w:val="true"/>
      <w:keepLines/>
      <w:spacing w:before="100" w:after="300"/>
    </w:pPr>
    <w:rPr>
      <w:sz w:val="20"/>
      <w:szCs w:val="20"/>
    </w:rPr>
  </w:style>
  <w:style w:type="paragraph" w:styleId="Bibliography">
    <w:name w:val="Bibliography"/>
    <w:basedOn w:val="Normal"/>
    <w:qFormat/>
    <w:pPr/>
    <w:rPr/>
  </w:style>
  <w:style w:type="paragraph" w:styleId="BlockText">
    <w:name w:val="Block Text"/>
    <w:basedOn w:val="BodyText"/>
    <w:next w:val="BodyText"/>
    <w:uiPriority w:val="9"/>
    <w:unhideWhenUsed/>
    <w:qFormat/>
    <w:pPr>
      <w:spacing w:before="100" w:after="100"/>
      <w:ind w:hanging="0" w:left="480" w:right="480"/>
    </w:pPr>
    <w:rPr/>
  </w:style>
  <w:style w:type="paragraph" w:styleId="FootnoteText">
    <w:name w:val="footnote text"/>
    <w:basedOn w:val="Normal"/>
    <w:uiPriority w:val="9"/>
    <w:unhideWhenUsed/>
    <w:qFormat/>
    <w:pPr/>
    <w:rPr/>
  </w:style>
  <w:style w:type="paragraph" w:styleId="FootnoteBlockText">
    <w:name w:val="Footnote Block Text"/>
    <w:basedOn w:val="FootnoteText"/>
    <w:next w:val="FootnoteText"/>
    <w:uiPriority w:val="9"/>
    <w:unhideWhenUsed/>
    <w:qFormat/>
    <w:pPr>
      <w:spacing w:before="100" w:after="100"/>
      <w:ind w:hanging="0" w:left="480" w:right="480"/>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TOCHeading">
    <w:name w:val="TOC Heading"/>
    <w:basedOn w:val="Heading1"/>
    <w:next w:val="BodyText"/>
    <w:uiPriority w:val="39"/>
    <w:unhideWhenUsed/>
    <w:qFormat/>
    <w:pPr>
      <w:spacing w:lineRule="auto" w:line="259" w:before="240" w:after="80"/>
      <w:outlineLvl w:val="9"/>
    </w:pPr>
    <w:rPr>
      <w:rFonts w:ascii="Aptos Display" w:hAnsi="Aptos Display" w:eastAsia="" w:cs="" w:asciiTheme="majorHAnsi" w:cstheme="majorBidi" w:eastAsiaTheme="majorEastAsia" w:hAnsiTheme="majorHAnsi"/>
      <w:b w:val="false"/>
      <w:bCs w:val="false"/>
      <w:color w:themeColor="accent1" w:themeShade="bf" w:val="365F91"/>
    </w:rPr>
  </w:style>
  <w:style w:type="paragraph" w:styleId="SourceCode" w:customStyle="1">
    <w:name w:val="Source Code"/>
    <w:basedOn w:val="Normal"/>
    <w:link w:val="VerbatimChar"/>
    <w:qFormat/>
    <w:pPr/>
    <w:rPr/>
  </w:style>
  <w:style w:type="table" w:default="1" w:styleId="Table">
    <w:name w:val="Table"/>
    <w:basedOn w:val="TableNormal"/>
    <w:semiHidden/>
    <w:unhideWhenUsed/>
    <w:qFormat/>
    <w:tblPr>
      <w:tblCellMar>
        <w:top w:w="0" w:type="dxa"/>
        <w:left w:w="108" w:type="dxa"/>
        <w:bottom w:w="0" w:type="dxa"/>
        <w:right w:w="108" w:type="dxa"/>
      </w:tblCellMar>
    </w:tblPr>
    <w:tblStylePr w:type="firstRow">
      <w:tblPr/>
      <w:tcPr>
        <w:tcBorders>
          <w:bottom w:val="single"/>
        </w:tcBorders>
        <w:vAlign w:val="bottom"/>
      </w:tc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pitchFamily="0" charset="1"/>
        <a:ea typeface=""/>
        <a:cs typeface=""/>
      </a:majorFont>
      <a:minorFont>
        <a:latin typeface="Aptos" panose="0211000402020202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15</TotalTime>
  <Application>LibreOffice/26.2.0.3$Linux_X86_64 LibreOffice_project/620$Build-3</Application>
  <AppVersion>15.0000</AppVersion>
  <Pages>6</Pages>
  <Words>1101</Words>
  <Characters>7420</Characters>
  <CharactersWithSpaces>8277</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2026-02-19T17:19:18Z</dcterms:created>
  <dc:creator/>
  <dc:description/>
  <dc:language>en-US</dc:language>
  <cp:lastModifiedBy>David Adams</cp:lastModifiedBy>
  <dcterms:modified xsi:type="dcterms:W3CDTF">2026-02-19T09:28:48Z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