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spacing w:lineRule="auto" w:line="480" w:before="160" w:after="80"/>
        <w:rPr>
          <w:rFonts w:ascii="Liberation Serif" w:hAnsi="Liberation Serif"/>
        </w:rPr>
      </w:pPr>
      <w:bookmarkStart w:id="0" w:name="X792fbbf40aa096a2a2643c915add754e5199cad"/>
      <w:r>
        <w:rPr>
          <w:rFonts w:ascii="Liberation Serif" w:hAnsi="Liberation Serif"/>
        </w:rPr>
        <w:t>Introduction</w:t>
      </w:r>
    </w:p>
    <w:p>
      <w:pPr>
        <w:pStyle w:val="FirstParagraph"/>
        <w:spacing w:lineRule="auto" w:line="480"/>
        <w:rPr>
          <w:rFonts w:ascii="Liberation Serif" w:hAnsi="Liberation Serif"/>
        </w:rPr>
      </w:pPr>
      <w:r>
        <w:rPr/>
        <w:t>How does transparency alter regulatory enforcement in high-capacity but locally discretionary bureaucracies? We study the January 2019 Texas Railroad Commission (RRC) disclosure change that made well-level violation information publicly searchable. The policy constitutes a statewide transparency shock, but implementation and enforcement remain district-administered. This setting allows us to test both system-wide effects and district-level heterogeneity in policy response.</w:t>
      </w:r>
    </w:p>
    <w:p>
      <w:pPr>
        <w:pStyle w:val="BodyText"/>
        <w:spacing w:lineRule="auto" w:line="480"/>
        <w:rPr>
          <w:rFonts w:ascii="Liberation Serif" w:hAnsi="Liberation Serif"/>
        </w:rPr>
      </w:pPr>
      <w:r>
        <w:rPr/>
        <w:t>While targeted transparency is increasingly utilized as a regulatory tool to improve accountability, its actual impact is mediated by the bureaucratic discretion of local field offices. Because implementation effects often unfold with delay, we use an interrupted time-series framework to distinguish immediate level shifts from post-policy trend change. We then model structural, spatial, and demographic sources of district-level heterogeneity.</w:t>
      </w:r>
    </w:p>
    <w:p>
      <w:pPr>
        <w:pStyle w:val="BodyText"/>
        <w:spacing w:lineRule="auto" w:line="480"/>
        <w:rPr>
          <w:rFonts w:ascii="Liberation Serif" w:hAnsi="Liberation Serif"/>
        </w:rPr>
      </w:pPr>
      <w:bookmarkStart w:id="1" w:name="introduction"/>
      <w:r>
        <w:rPr/>
        <w:t>Our core empirical results indicate a two-part pattern. First, enforcement timing improves gradually after the policy (significant post-policy trend improvement) rather than through a sharp immediate level break in 2019. Second, district responses vary substantially, and offshore-jurisdiction districts (02/03/04) exhibit systematically different post-policy dynamics once district-specific post effects are modeled. The paper contributes evidence on how transparency reforms operate in decentralized enforcement systems where local administrative discretion remains central.</w:t>
      </w:r>
      <w:bookmarkEnd w:id="1"/>
    </w:p>
    <w:p>
      <w:pPr>
        <w:pStyle w:val="Heading2"/>
        <w:spacing w:lineRule="auto" w:line="480"/>
        <w:rPr>
          <w:rFonts w:ascii="Liberation Serif" w:hAnsi="Liberation Serif"/>
        </w:rPr>
      </w:pPr>
      <w:bookmarkStart w:id="2" w:name="theory-and-hypotheses"/>
      <w:r>
        <w:rPr>
          <w:rFonts w:ascii="Liberation Serif" w:hAnsi="Liberation Serif"/>
        </w:rPr>
        <w:t>Theory and Hypotheses</w:t>
      </w:r>
    </w:p>
    <w:p>
      <w:pPr>
        <w:pStyle w:val="FirstParagraph"/>
        <w:spacing w:lineRule="auto" w:line="480"/>
        <w:rPr>
          <w:rFonts w:ascii="Liberation Serif" w:hAnsi="Liberation Serif"/>
        </w:rPr>
      </w:pPr>
      <w:r>
        <w:rPr/>
        <w:t>Transparency may alter enforcement through reputational, political, and managerial channels. Public disclosure can increase the salience of noncompliance and create incentives for agencies to accelerate case movement through the regulatory pipeline. But local implementation discretion can mediate this effect, producing district-level divergence.</w:t>
      </w:r>
    </w:p>
    <w:p>
      <w:pPr>
        <w:pStyle w:val="BodyText"/>
        <w:spacing w:lineRule="auto" w:line="480"/>
        <w:rPr>
          <w:rFonts w:ascii="Liberation Serif" w:hAnsi="Liberation Serif"/>
        </w:rPr>
      </w:pPr>
      <w:r>
        <w:rPr/>
        <w:t>We test:</w:t>
      </w:r>
    </w:p>
    <w:p>
      <w:pPr>
        <w:pStyle w:val="Compact"/>
        <w:numPr>
          <w:ilvl w:val="0"/>
          <w:numId w:val="1"/>
        </w:numPr>
        <w:spacing w:lineRule="auto" w:line="480"/>
        <w:rPr>
          <w:rFonts w:ascii="Liberation Serif" w:hAnsi="Liberation Serif"/>
        </w:rPr>
      </w:pPr>
      <w:r>
        <w:rPr>
          <w:b/>
          <w:bCs/>
        </w:rPr>
        <w:t>H1 (Regulatory Pipeline Acceleration)</w:t>
      </w:r>
    </w:p>
    <w:p>
      <w:pPr>
        <w:pStyle w:val="Compact"/>
        <w:numPr>
          <w:ilvl w:val="1"/>
          <w:numId w:val="1"/>
        </w:numPr>
        <w:spacing w:lineRule="auto" w:line="480"/>
        <w:rPr>
          <w:rFonts w:ascii="Liberation Serif" w:hAnsi="Liberation Serif"/>
        </w:rPr>
      </w:pPr>
      <w:r>
        <w:rPr>
          <w:b/>
          <w:bCs/>
        </w:rPr>
        <w:t>H1a:</w:t>
      </w:r>
      <w:r>
        <w:rPr/>
        <w:t xml:space="preserve"> Disclosure reduces time from violation discovery to enforcement action.</w:t>
      </w:r>
    </w:p>
    <w:p>
      <w:pPr>
        <w:pStyle w:val="Compact"/>
        <w:numPr>
          <w:ilvl w:val="1"/>
          <w:numId w:val="1"/>
        </w:numPr>
        <w:spacing w:lineRule="auto" w:line="480"/>
        <w:rPr>
          <w:rFonts w:ascii="Liberation Serif" w:hAnsi="Liberation Serif"/>
        </w:rPr>
      </w:pPr>
      <w:r>
        <w:rPr>
          <w:b/>
          <w:bCs/>
        </w:rPr>
        <w:t>H1b:</w:t>
      </w:r>
      <w:r>
        <w:rPr/>
        <w:t xml:space="preserve"> Disclosure improves compliance verification (resolution on re-inspection).</w:t>
      </w:r>
    </w:p>
    <w:p>
      <w:pPr>
        <w:pStyle w:val="Compact"/>
        <w:numPr>
          <w:ilvl w:val="0"/>
          <w:numId w:val="1"/>
        </w:numPr>
        <w:spacing w:lineRule="auto" w:line="480"/>
        <w:rPr>
          <w:rFonts w:ascii="Liberation Serif" w:hAnsi="Liberation Serif"/>
        </w:rPr>
      </w:pPr>
      <w:r>
        <w:rPr>
          <w:b/>
          <w:bCs/>
        </w:rPr>
        <w:t>H2 (Bureaucratic Heterogeneity):</w:t>
      </w:r>
      <w:r>
        <w:rPr/>
        <w:t xml:space="preserve"> Post-policy effects vary across districts.</w:t>
      </w:r>
    </w:p>
    <w:p>
      <w:pPr>
        <w:pStyle w:val="Compact"/>
        <w:numPr>
          <w:ilvl w:val="0"/>
          <w:numId w:val="1"/>
        </w:numPr>
        <w:spacing w:lineRule="auto" w:line="480"/>
        <w:rPr>
          <w:rFonts w:ascii="Liberation Serif" w:hAnsi="Liberation Serif"/>
        </w:rPr>
      </w:pPr>
      <w:r>
        <w:rPr>
          <w:b/>
          <w:bCs/>
        </w:rPr>
        <w:t>H3 (Structural Moderators):</w:t>
      </w:r>
      <w:r>
        <w:rPr/>
        <w:t xml:space="preserve"> Capacity, baseline performance, EJ context, geology, border proximity, and rurality explain variation.</w:t>
      </w:r>
    </w:p>
    <w:p>
      <w:pPr>
        <w:pStyle w:val="Compact"/>
        <w:numPr>
          <w:ilvl w:val="0"/>
          <w:numId w:val="1"/>
        </w:numPr>
        <w:spacing w:lineRule="auto" w:line="480"/>
        <w:rPr>
          <w:rFonts w:ascii="Liberation Serif" w:hAnsi="Liberation Serif"/>
        </w:rPr>
      </w:pPr>
      <w:r>
        <w:rPr>
          <w:b/>
          <w:bCs/>
        </w:rPr>
        <w:t>H4 (Spatial Dynamics):</w:t>
      </w:r>
      <w:r>
        <w:rPr/>
        <w:t xml:space="preserve"> District treatment effects are spatially autocorrelated.</w:t>
      </w:r>
    </w:p>
    <w:p>
      <w:pPr>
        <w:pStyle w:val="Compact"/>
        <w:numPr>
          <w:ilvl w:val="0"/>
          <w:numId w:val="1"/>
        </w:numPr>
        <w:spacing w:lineRule="auto" w:line="480"/>
        <w:rPr>
          <w:rFonts w:ascii="Liberation Serif" w:hAnsi="Liberation Serif"/>
        </w:rPr>
      </w:pPr>
      <w:r>
        <w:rPr>
          <w:b/>
          <w:bCs/>
        </w:rPr>
        <w:t>H5 (Offshore Jurisdiction Moderator):</w:t>
      </w:r>
      <w:r>
        <w:rPr/>
        <w:t xml:space="preserve"> Districts 02/03/04 exhibit differential post-2019 response.</w:t>
      </w:r>
      <w:bookmarkEnd w:id="2"/>
    </w:p>
    <w:p>
      <w:pPr>
        <w:pStyle w:val="Heading2"/>
        <w:spacing w:lineRule="auto" w:line="480"/>
        <w:rPr>
          <w:rFonts w:ascii="Liberation Serif" w:hAnsi="Liberation Serif"/>
        </w:rPr>
      </w:pPr>
      <w:r>
        <w:rPr>
          <w:rFonts w:ascii="Liberation Serif" w:hAnsi="Liberation Serif"/>
        </w:rPr>
        <w:t>Data and Measures</w:t>
      </w:r>
    </w:p>
    <w:p>
      <w:pPr>
        <w:pStyle w:val="FirstParagraph"/>
        <w:spacing w:lineRule="auto" w:line="480"/>
        <w:rPr>
          <w:rFonts w:ascii="Liberation Serif" w:hAnsi="Liberation Serif"/>
        </w:rPr>
      </w:pPr>
      <w:r>
        <w:rPr/>
        <w:t>We construct a district-year panel (2015-2025, 13 RRC districts) from administrative inspection and violation records. Well-level records are linked across sources prior to district-year aggregation. The analysis sample includes 143 district-year observations (52 pre-policy, 91 post-policy). To give scale to the regulatory pipeline, Table A summarizes the analytic data volumes used in this run.</w:t>
      </w:r>
    </w:p>
    <w:p>
      <w:pPr>
        <w:pStyle w:val="BodyText"/>
        <w:spacing w:lineRule="auto" w:line="480"/>
        <w:rPr>
          <w:rFonts w:ascii="Liberation Serif" w:hAnsi="Liberation Serif"/>
        </w:rPr>
      </w:pPr>
      <w:r>
        <w:rPr>
          <w:b/>
          <w:bCs/>
        </w:rPr>
        <w:t>Table A. Pipeline data volume (analysis window: 2015-2025)</w:t>
      </w:r>
    </w:p>
    <w:tbl>
      <w:tblPr>
        <w:tblStyle w:val="Table"/>
        <w:tblW w:w="7920" w:type="dxa"/>
        <w:jc w:val="left"/>
        <w:tblInd w:w="0" w:type="dxa"/>
        <w:tblLayout w:type="fixed"/>
        <w:tblCellMar>
          <w:top w:w="0" w:type="dxa"/>
          <w:left w:w="108" w:type="dxa"/>
          <w:bottom w:w="0" w:type="dxa"/>
          <w:right w:w="108" w:type="dxa"/>
        </w:tblCellMar>
        <w:tblLook w:val="0020" w:noHBand="0" w:noVBand="0" w:firstColumn="0" w:lastRow="0" w:lastColumn="0" w:firstRow="1"/>
      </w:tblPr>
      <w:tblGrid>
        <w:gridCol w:w="4770"/>
        <w:gridCol w:w="3150"/>
      </w:tblGrid>
      <w:tr>
        <w:trPr>
          <w:tblHeader w:val="true"/>
        </w:trPr>
        <w:tc>
          <w:tcPr>
            <w:tcW w:w="4770" w:type="dxa"/>
            <w:tcBorders>
              <w:bottom w:val="single" w:sz="6" w:space="0" w:color="000000"/>
            </w:tcBorders>
            <w:vAlign w:val="bottom"/>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Component</w:t>
            </w:r>
          </w:p>
        </w:tc>
        <w:tc>
          <w:tcPr>
            <w:tcW w:w="3150" w:type="dxa"/>
            <w:tcBorders>
              <w:bottom w:val="single" w:sz="6" w:space="0" w:color="000000"/>
            </w:tcBorders>
            <w:vAlign w:val="bottom"/>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Count</w:t>
            </w:r>
          </w:p>
        </w:tc>
      </w:tr>
      <w:tr>
        <w:trPr/>
        <w:tc>
          <w:tcPr>
            <w:tcW w:w="477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Well records loaded (well universe table)</w:t>
            </w:r>
          </w:p>
        </w:tc>
        <w:tc>
          <w:tcPr>
            <w:tcW w:w="315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1,010,432</w:t>
            </w:r>
          </w:p>
        </w:tc>
      </w:tr>
      <w:tr>
        <w:trPr/>
        <w:tc>
          <w:tcPr>
            <w:tcW w:w="477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Inspection records (analysis window)</w:t>
            </w:r>
          </w:p>
        </w:tc>
        <w:tc>
          <w:tcPr>
            <w:tcW w:w="315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1,867,859</w:t>
            </w:r>
          </w:p>
        </w:tc>
      </w:tr>
      <w:tr>
        <w:trPr/>
        <w:tc>
          <w:tcPr>
            <w:tcW w:w="477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Violation records (analysis window)</w:t>
            </w:r>
          </w:p>
        </w:tc>
        <w:tc>
          <w:tcPr>
            <w:tcW w:w="315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191,762</w:t>
            </w:r>
          </w:p>
        </w:tc>
      </w:tr>
      <w:tr>
        <w:trPr/>
        <w:tc>
          <w:tcPr>
            <w:tcW w:w="477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District-year observations</w:t>
            </w:r>
          </w:p>
        </w:tc>
        <w:tc>
          <w:tcPr>
            <w:tcW w:w="315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143</w:t>
            </w:r>
          </w:p>
        </w:tc>
      </w:tr>
      <w:tr>
        <w:trPr/>
        <w:tc>
          <w:tcPr>
            <w:tcW w:w="477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Districts</w:t>
            </w:r>
          </w:p>
        </w:tc>
        <w:tc>
          <w:tcPr>
            <w:tcW w:w="315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13</w:t>
            </w:r>
          </w:p>
        </w:tc>
      </w:tr>
    </w:tbl>
    <w:p>
      <w:pPr>
        <w:pStyle w:val="BodyText"/>
        <w:spacing w:lineRule="auto" w:line="480"/>
        <w:rPr>
          <w:rFonts w:ascii="Liberation Serif" w:hAnsi="Liberation Serif"/>
        </w:rPr>
      </w:pPr>
      <w:r>
        <w:rPr/>
        <w:t>These volumes indicate a high-throughput enforcement system in which timing outcomes are estimated on a relatively small district-year panel built from large underlying administrative flows.</w:t>
      </w:r>
    </w:p>
    <w:p>
      <w:pPr>
        <w:pStyle w:val="BodyText"/>
        <w:spacing w:lineRule="auto" w:line="480"/>
        <w:rPr>
          <w:rFonts w:ascii="Liberation Serif" w:hAnsi="Liberation Serif"/>
        </w:rPr>
      </w:pPr>
      <w:r>
        <w:rPr/>
        <w:t>Primary outcomes:</w:t>
      </w:r>
    </w:p>
    <w:p>
      <w:pPr>
        <w:pStyle w:val="Compact"/>
        <w:numPr>
          <w:ilvl w:val="0"/>
          <w:numId w:val="1"/>
        </w:numPr>
        <w:spacing w:lineRule="auto" w:line="480"/>
        <w:rPr>
          <w:rFonts w:ascii="Liberation Serif" w:hAnsi="Liberation Serif"/>
        </w:rPr>
      </w:pPr>
      <w:r>
        <w:rPr/>
        <w:t>Enforcement delay: the logged district-year mean number of days from violation discovery to enforcement action.</w:t>
      </w:r>
    </w:p>
    <w:p>
      <w:pPr>
        <w:pStyle w:val="Compact"/>
        <w:numPr>
          <w:ilvl w:val="0"/>
          <w:numId w:val="1"/>
        </w:numPr>
        <w:spacing w:lineRule="auto" w:line="480"/>
        <w:rPr>
          <w:rFonts w:ascii="Liberation Serif" w:hAnsi="Liberation Serif"/>
        </w:rPr>
      </w:pPr>
      <w:r>
        <w:rPr/>
        <w:t>Resolution on re-inspection: the district-year share of violations marked compliant at re-inspection.</w:t>
      </w:r>
    </w:p>
    <w:p>
      <w:pPr>
        <w:pStyle w:val="Compact"/>
        <w:numPr>
          <w:ilvl w:val="0"/>
          <w:numId w:val="1"/>
        </w:numPr>
        <w:spacing w:lineRule="auto" w:line="480"/>
        <w:rPr>
          <w:rFonts w:ascii="Liberation Serif" w:hAnsi="Liberation Serif"/>
        </w:rPr>
      </w:pPr>
      <w:r>
        <w:rPr/>
        <w:t>Inspection compliance rate: the district-year share of inspections marked compliant.</w:t>
      </w:r>
    </w:p>
    <w:p>
      <w:pPr>
        <w:pStyle w:val="Compact"/>
        <w:numPr>
          <w:ilvl w:val="0"/>
          <w:numId w:val="1"/>
        </w:numPr>
        <w:spacing w:lineRule="auto" w:line="480"/>
        <w:rPr>
          <w:rFonts w:ascii="Liberation Serif" w:hAnsi="Liberation Serif"/>
        </w:rPr>
      </w:pPr>
      <w:bookmarkStart w:id="3" w:name="data-and-measures"/>
      <w:r>
        <w:rPr/>
        <w:t>Violations per inspection: total violations divided by total inspections in each district-year.</w:t>
      </w:r>
      <w:bookmarkEnd w:id="3"/>
    </w:p>
    <w:p>
      <w:pPr>
        <w:pStyle w:val="Heading2"/>
        <w:spacing w:lineRule="auto" w:line="480"/>
        <w:rPr>
          <w:rFonts w:ascii="Liberation Serif" w:hAnsi="Liberation Serif"/>
        </w:rPr>
      </w:pPr>
      <w:r>
        <w:rPr>
          <w:rFonts w:ascii="Liberation Serif" w:hAnsi="Liberation Serif"/>
        </w:rPr>
        <w:t>Empirical Strategy</w:t>
      </w:r>
    </w:p>
    <w:p>
      <w:pPr>
        <w:pStyle w:val="FirstParagraph"/>
        <w:spacing w:lineRule="auto" w:line="480"/>
        <w:rPr/>
      </w:pPr>
      <w:r>
        <w:rPr/>
        <w:t>To evaluate the January 2019 transparency reform, we pair an all-district interrupted panel design with district-specific heterogeneity models and a spatial dependence diagnostic. This sequence matches the hypotheses: H1 tests system-wide timing change, H2 tests district divergence, H5 tests offshore moderation, and H4 tests whether estimated district effects are spatially clustered. Administrative records are extracted from a PostgreSQL backend, linked across inspection and violation files at the well level, and aggregated to district-year panels in Python (</w:t>
      </w:r>
      <w:r>
        <w:rPr>
          <w:rStyle w:val="VerbatimChar"/>
        </w:rPr>
        <w:t>pandas</w:t>
      </w:r>
      <w:r>
        <w:rPr/>
        <w:t xml:space="preserve">, </w:t>
      </w:r>
      <w:r>
        <w:rPr>
          <w:rStyle w:val="VerbatimChar"/>
        </w:rPr>
        <w:t>numpy</w:t>
      </w:r>
      <w:r>
        <w:rPr/>
        <w:t xml:space="preserve">). Estimation is conducted with </w:t>
      </w:r>
      <w:r>
        <w:rPr>
          <w:rStyle w:val="VerbatimChar"/>
        </w:rPr>
        <w:t>statsmodels</w:t>
      </w:r>
      <w:r>
        <w:rPr/>
        <w:t xml:space="preserve"> (with </w:t>
      </w:r>
      <w:r>
        <w:rPr>
          <w:rStyle w:val="VerbatimChar"/>
        </w:rPr>
        <w:t>scipy</w:t>
      </w:r>
      <w:r>
        <w:rPr/>
        <w:t xml:space="preserve"> for auxiliary tests); figures are produced with </w:t>
      </w:r>
      <w:r>
        <w:rPr>
          <w:rStyle w:val="VerbatimChar"/>
        </w:rPr>
        <w:t>matplotlib</w:t>
      </w:r>
      <w:r>
        <w:rPr/>
        <w:t>/</w:t>
      </w:r>
      <w:r>
        <w:rPr>
          <w:rStyle w:val="VerbatimChar"/>
        </w:rPr>
        <w:t>seaborn</w:t>
      </w:r>
      <w:r>
        <w:rPr/>
        <w:t xml:space="preserve"> and district map joins use </w:t>
      </w:r>
      <w:r>
        <w:rPr>
          <w:rStyle w:val="VerbatimChar"/>
        </w:rPr>
        <w:t>geopandas</w:t>
      </w:r>
      <w:r>
        <w:rPr/>
        <w:t>. The H4 spatial test uses a permutation-based global Moran’s I computed from district contiguity weights.</w:t>
      </w:r>
    </w:p>
    <w:p>
      <w:pPr>
        <w:pStyle w:val="Heading3"/>
        <w:spacing w:lineRule="auto" w:line="480"/>
        <w:rPr>
          <w:rFonts w:ascii="Liberation Serif" w:hAnsi="Liberation Serif"/>
        </w:rPr>
      </w:pPr>
      <w:bookmarkStart w:id="4" w:name="X7012eac904d25408f0ff36446a64623fb691f36"/>
      <w:r>
        <w:rPr>
          <w:rFonts w:ascii="Liberation Serif" w:hAnsi="Liberation Serif"/>
        </w:rPr>
        <w:t>Model 1: All-district policy-year shift (H1)</w:t>
      </w:r>
    </w:p>
    <w:p>
      <w:pPr>
        <w:pStyle w:val="FirstParagraph"/>
        <w:spacing w:lineRule="auto" w:line="480"/>
        <w:jc w:val="center"/>
        <w:rPr>
          <w:rFonts w:ascii="Liberation Serif" w:hAnsi="Liberation Serif"/>
        </w:rPr>
      </w:pPr>
      <w:r>
        <w:rPr/>
      </w:r>
      <m:oMathPara xmlns:m="http://schemas.openxmlformats.org/officeDocument/2006/math">
        <m:oMathParaPr>
          <m:jc m:val="center"/>
        </m:oMathParaPr>
        <m:oMath>
          <m:sSub>
            <m:e>
              <m:r>
                <w:rPr>
                  <w:rFonts w:ascii="Cambria Math" w:hAnsi="Cambria Math"/>
                </w:rPr>
                <m:t xml:space="preserve">Y</m:t>
              </m:r>
            </m:e>
            <m:sub>
              <m:r>
                <w:rPr>
                  <w:rFonts w:ascii="Cambria Math" w:hAnsi="Cambria Math"/>
                </w:rPr>
                <m:t xml:space="preserve">d</m:t>
              </m:r>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α</m:t>
              </m:r>
            </m:e>
            <m:sub>
              <m:r>
                <w:rPr>
                  <w:rFonts w:ascii="Cambria Math" w:hAnsi="Cambria Math"/>
                </w:rPr>
                <m:t xml:space="preserve">d</m:t>
              </m:r>
            </m:sub>
          </m:sSub>
          <m:r>
            <m:rPr>
              <m:lit/>
              <m:nor/>
            </m:rP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sSub>
            <m:e>
              <m:r>
                <w:rPr>
                  <w:rFonts w:ascii="Cambria Math" w:hAnsi="Cambria Math"/>
                </w:rPr>
                <m:t xml:space="preserve">Y</m:t>
              </m:r>
              <m:r>
                <w:rPr>
                  <w:rFonts w:ascii="Cambria Math" w:hAnsi="Cambria Math"/>
                </w:rPr>
                <m:t xml:space="preserve">e</m:t>
              </m:r>
              <m:r>
                <w:rPr>
                  <w:rFonts w:ascii="Cambria Math" w:hAnsi="Cambria Math"/>
                </w:rPr>
                <m:t xml:space="preserve">a</m:t>
              </m:r>
              <m:r>
                <w:rPr>
                  <w:rFonts w:ascii="Cambria Math" w:hAnsi="Cambria Math"/>
                </w:rPr>
                <m:t xml:space="preserve">r</m:t>
              </m:r>
              <m:r>
                <w:rPr>
                  <w:rFonts w:ascii="Cambria Math" w:hAnsi="Cambria Math"/>
                </w:rPr>
                <m:t xml:space="preserve">N</m:t>
              </m:r>
              <m:r>
                <w:rPr>
                  <w:rFonts w:ascii="Cambria Math" w:hAnsi="Cambria Math"/>
                </w:rPr>
                <m:t xml:space="preserve">u</m:t>
              </m:r>
              <m:r>
                <w:rPr>
                  <w:rFonts w:ascii="Cambria Math" w:hAnsi="Cambria Math"/>
                </w:rPr>
                <m:t xml:space="preserve">m</m:t>
              </m:r>
            </m:e>
            <m:sub>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β</m:t>
              </m:r>
            </m:e>
            <m:sub>
              <m:r>
                <w:rPr>
                  <w:rFonts w:ascii="Cambria Math" w:hAnsi="Cambria Math"/>
                </w:rPr>
                <m:t xml:space="preserve">2</m:t>
              </m:r>
            </m:sub>
          </m:sSub>
          <m:sSub>
            <m:e>
              <m:r>
                <w:rPr>
                  <w:rFonts w:ascii="Cambria Math" w:hAnsi="Cambria Math"/>
                </w:rPr>
                <m:t xml:space="preserve">P</m:t>
              </m:r>
              <m:r>
                <w:rPr>
                  <w:rFonts w:ascii="Cambria Math" w:hAnsi="Cambria Math"/>
                </w:rPr>
                <m:t xml:space="preserve">o</m:t>
              </m:r>
              <m:r>
                <w:rPr>
                  <w:rFonts w:ascii="Cambria Math" w:hAnsi="Cambria Math"/>
                </w:rPr>
                <m:t xml:space="preserve">s</m:t>
              </m:r>
              <m:r>
                <w:rPr>
                  <w:rFonts w:ascii="Cambria Math" w:hAnsi="Cambria Math"/>
                </w:rPr>
                <m:t xml:space="preserve">t</m:t>
              </m:r>
              <m:r>
                <w:rPr>
                  <w:rFonts w:ascii="Cambria Math" w:hAnsi="Cambria Math"/>
                </w:rPr>
                <m:t xml:space="preserve">2019</m:t>
              </m:r>
            </m:e>
            <m:sub>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β</m:t>
              </m:r>
            </m:e>
            <m:sub>
              <m:r>
                <w:rPr>
                  <w:rFonts w:ascii="Cambria Math" w:hAnsi="Cambria Math"/>
                </w:rPr>
                <m:t xml:space="preserve">3</m:t>
              </m:r>
            </m:sub>
          </m:sSub>
          <m:sSub>
            <m:e>
              <m:r>
                <w:rPr>
                  <w:rFonts w:ascii="Cambria Math" w:hAnsi="Cambria Math"/>
                </w:rPr>
                <m:t xml:space="preserve">P</m:t>
              </m:r>
              <m:r>
                <w:rPr>
                  <w:rFonts w:ascii="Cambria Math" w:hAnsi="Cambria Math"/>
                </w:rPr>
                <m:t xml:space="preserve">o</m:t>
              </m:r>
              <m:r>
                <w:rPr>
                  <w:rFonts w:ascii="Cambria Math" w:hAnsi="Cambria Math"/>
                </w:rPr>
                <m:t xml:space="preserve">s</m:t>
              </m:r>
              <m:r>
                <w:rPr>
                  <w:rFonts w:ascii="Cambria Math" w:hAnsi="Cambria Math"/>
                </w:rPr>
                <m:t xml:space="preserve">t</m:t>
              </m:r>
              <m:r>
                <w:rPr>
                  <w:rFonts w:ascii="Cambria Math" w:hAnsi="Cambria Math"/>
                </w:rPr>
                <m:t xml:space="preserve">T</m:t>
              </m:r>
              <m:r>
                <w:rPr>
                  <w:rFonts w:ascii="Cambria Math" w:hAnsi="Cambria Math"/>
                </w:rPr>
                <m:t xml:space="preserve">r</m:t>
              </m:r>
              <m:r>
                <w:rPr>
                  <w:rFonts w:ascii="Cambria Math" w:hAnsi="Cambria Math"/>
                </w:rPr>
                <m:t xml:space="preserve">e</m:t>
              </m:r>
              <m:r>
                <w:rPr>
                  <w:rFonts w:ascii="Cambria Math" w:hAnsi="Cambria Math"/>
                </w:rPr>
                <m:t xml:space="preserve">n</m:t>
              </m:r>
              <m:r>
                <w:rPr>
                  <w:rFonts w:ascii="Cambria Math" w:hAnsi="Cambria Math"/>
                </w:rPr>
                <m:t xml:space="preserve">d</m:t>
              </m:r>
            </m:e>
            <m:sub>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ε</m:t>
              </m:r>
            </m:e>
            <m:sub>
              <m:r>
                <w:rPr>
                  <w:rFonts w:ascii="Cambria Math" w:hAnsi="Cambria Math"/>
                </w:rPr>
                <m:t xml:space="preserve">d</m:t>
              </m:r>
              <m:r>
                <w:rPr>
                  <w:rFonts w:ascii="Cambria Math" w:hAnsi="Cambria Math"/>
                </w:rPr>
                <m:t xml:space="preserve">t</m:t>
              </m:r>
            </m:sub>
          </m:sSub>
        </m:oMath>
      </m:oMathPara>
    </w:p>
    <w:p>
      <w:pPr>
        <w:pStyle w:val="FirstParagraph"/>
        <w:spacing w:lineRule="auto" w:line="480"/>
        <w:rPr>
          <w:rFonts w:ascii="Liberation Serif" w:hAnsi="Liberation Serif"/>
        </w:rPr>
      </w:pPr>
      <w:r>
        <w:rPr/>
        <w:t xml:space="preserve">Where </w:t>
      </w:r>
      <w:r>
        <w:rPr/>
      </w:r>
      <m:oMath xmlns:m="http://schemas.openxmlformats.org/officeDocument/2006/math">
        <m:r>
          <w:rPr>
            <w:rFonts w:ascii="Cambria Math" w:hAnsi="Cambria Math"/>
          </w:rPr>
          <m:t xml:space="preserve">P</m:t>
        </m:r>
        <m:r>
          <w:rPr>
            <w:rFonts w:ascii="Cambria Math" w:hAnsi="Cambria Math"/>
          </w:rPr>
          <m:t xml:space="preserve">o</m:t>
        </m:r>
        <m:r>
          <w:rPr>
            <w:rFonts w:ascii="Cambria Math" w:hAnsi="Cambria Math"/>
          </w:rPr>
          <m:t xml:space="preserve">s</m:t>
        </m:r>
        <m:r>
          <w:rPr>
            <w:rFonts w:ascii="Cambria Math" w:hAnsi="Cambria Math"/>
          </w:rPr>
          <m:t xml:space="preserve">t</m:t>
        </m:r>
        <m:r>
          <w:rPr>
            <w:rFonts w:ascii="Cambria Math" w:hAnsi="Cambria Math"/>
          </w:rPr>
          <m:t xml:space="preserve">T</m:t>
        </m:r>
        <m:r>
          <w:rPr>
            <w:rFonts w:ascii="Cambria Math" w:hAnsi="Cambria Math"/>
          </w:rPr>
          <m:t xml:space="preserve">r</m:t>
        </m:r>
        <m:r>
          <w:rPr>
            <w:rFonts w:ascii="Cambria Math" w:hAnsi="Cambria Math"/>
          </w:rPr>
          <m:t xml:space="preserve">e</m:t>
        </m:r>
        <m:r>
          <w:rPr>
            <w:rFonts w:ascii="Cambria Math" w:hAnsi="Cambria Math"/>
          </w:rPr>
          <m:t xml:space="preserve">n</m:t>
        </m:r>
        <m:sSub>
          <m:e>
            <m:r>
              <w:rPr>
                <w:rFonts w:ascii="Cambria Math" w:hAnsi="Cambria Math"/>
              </w:rPr>
              <m:t xml:space="preserve">d</m:t>
            </m:r>
          </m:e>
          <m:sub>
            <m:r>
              <w:rPr>
                <w:rFonts w:ascii="Cambria Math" w:hAnsi="Cambria Math"/>
              </w:rPr>
              <m:t xml:space="preserve">t</m:t>
            </m:r>
          </m:sub>
        </m:sSub>
        <m:r>
          <m:rPr>
            <m:lit/>
            <m:nor/>
          </m:rPr>
          <w:rPr>
            <w:rFonts w:ascii="Cambria Math" w:hAnsi="Cambria Math"/>
          </w:rPr>
          <m:t xml:space="preserve">=</m:t>
        </m:r>
        <m:r>
          <w:rPr>
            <w:rFonts w:ascii="Cambria Math" w:hAnsi="Cambria Math"/>
          </w:rPr>
          <m:t xml:space="preserve">max</m:t>
        </m:r>
        <m:r>
          <w:rPr>
            <w:rFonts w:ascii="Cambria Math" w:hAnsi="Cambria Math"/>
          </w:rPr>
          <m:t xml:space="preserve">(</m:t>
        </m:r>
        <m:r>
          <w:rPr>
            <w:rFonts w:ascii="Cambria Math" w:hAnsi="Cambria Math"/>
          </w:rPr>
          <m:t xml:space="preserve">0</m:t>
        </m:r>
        <m:r>
          <w:rPr>
            <w:rFonts w:ascii="Cambria Math" w:hAnsi="Cambria Math"/>
          </w:rPr>
          <m:t xml:space="preserve">,</m:t>
        </m:r>
        <m:r>
          <w:rPr>
            <w:rFonts w:ascii="Cambria Math" w:hAnsi="Cambria Math"/>
          </w:rPr>
          <m:t xml:space="preserve">t</m:t>
        </m:r>
        <m:r>
          <w:rPr>
            <w:rFonts w:ascii="Cambria Math" w:hAnsi="Cambria Math"/>
          </w:rPr>
          <m:t xml:space="preserve">−</m:t>
        </m:r>
        <m:r>
          <w:rPr>
            <w:rFonts w:ascii="Cambria Math" w:hAnsi="Cambria Math"/>
          </w:rPr>
          <m:t xml:space="preserve">2018</m:t>
        </m:r>
        <m:r>
          <w:rPr>
            <w:rFonts w:ascii="Cambria Math" w:hAnsi="Cambria Math"/>
          </w:rPr>
          <m:t xml:space="preserve">)</m:t>
        </m:r>
      </m:oMath>
      <w:r>
        <w:rPr/>
        <w:t xml:space="preserve">. This distinguishes an immediate post-2019 level shift </w:t>
      </w:r>
      <w:r>
        <w:rPr/>
      </w:r>
      <m:oMath xmlns:m="http://schemas.openxmlformats.org/officeDocument/2006/math">
        <m:sSub>
          <m:e>
            <m:r>
              <w:rPr>
                <w:rFonts w:ascii="Cambria Math" w:hAnsi="Cambria Math"/>
              </w:rPr>
              <m:t xml:space="preserve">β</m:t>
            </m:r>
          </m:e>
          <m:sub>
            <m:r>
              <w:rPr>
                <w:rFonts w:ascii="Cambria Math" w:hAnsi="Cambria Math"/>
              </w:rPr>
              <m:t xml:space="preserve">2</m:t>
            </m:r>
          </m:sub>
        </m:sSub>
      </m:oMath>
      <w:r>
        <w:rPr/>
        <w:t xml:space="preserve"> from a post-policy slope change </w:t>
      </w:r>
      <w:r>
        <w:rPr/>
      </w:r>
      <m:oMath xmlns:m="http://schemas.openxmlformats.org/officeDocument/2006/math">
        <m:sSub>
          <m:e>
            <m:r>
              <w:rPr>
                <w:rFonts w:ascii="Cambria Math" w:hAnsi="Cambria Math"/>
              </w:rPr>
              <m:t xml:space="preserve">β</m:t>
            </m:r>
          </m:e>
          <m:sub>
            <m:r>
              <w:rPr>
                <w:rFonts w:ascii="Cambria Math" w:hAnsi="Cambria Math"/>
              </w:rPr>
              <m:t xml:space="preserve">3</m:t>
            </m:r>
          </m:sub>
        </m:sSub>
      </m:oMath>
      <w:r>
        <w:rPr/>
        <w:t>. This follows interrupted time-series logic for a common policy shock, separating immediate and gradual responses (Biglan, Ary, &amp; Wagenaar, 2000; Bernal, Cummins, &amp; Gasparrini, 2017; Linden, 2015).</w:t>
      </w:r>
      <w:bookmarkEnd w:id="4"/>
    </w:p>
    <w:p>
      <w:pPr>
        <w:pStyle w:val="Heading3"/>
        <w:spacing w:lineRule="auto" w:line="480"/>
        <w:rPr>
          <w:rFonts w:ascii="Liberation Serif" w:hAnsi="Liberation Serif"/>
        </w:rPr>
      </w:pPr>
      <w:r>
        <w:rPr>
          <w:rFonts w:ascii="Liberation Serif" w:hAnsi="Liberation Serif"/>
        </w:rPr>
        <w:t>Model 2: District heterogeneity (H2)</w:t>
      </w:r>
    </w:p>
    <w:p>
      <w:pPr>
        <w:pStyle w:val="FirstParagraph"/>
        <w:spacing w:lineRule="auto" w:line="480"/>
        <w:rPr>
          <w:rFonts w:ascii="Liberation Serif" w:hAnsi="Liberation Serif"/>
        </w:rPr>
      </w:pPr>
      <w:r>
        <w:rPr/>
        <w:t>Model 2 estimates district-specific post-policy effects by interacting district indicators with the post-2019 period and including year fixed effects. This yields district-level post coefficients and a joint heterogeneity test. In the current run, the omnibus test of district-by-post terms is not statistically significant (Wald chi-square = 0.670, p=0.4130), so H2 evidence is interpreted primarily from the pattern and magnitude of district-specific estimates rather than a single global rejection.</w:t>
      </w:r>
    </w:p>
    <w:p>
      <w:pPr>
        <w:pStyle w:val="BodyText"/>
        <w:spacing w:lineRule="auto" w:line="480"/>
        <w:rPr>
          <w:rFonts w:ascii="Liberation Serif" w:hAnsi="Liberation Serif"/>
        </w:rPr>
      </w:pPr>
      <w:bookmarkStart w:id="5" w:name="model-2-district-heterogeneity-h2"/>
      <w:r>
        <w:rPr/>
        <w:t>Because all districts are exposed in the same year, this is not a staggered-adoption DiD problem. Still, recent DiD work highlights that pooled average effects can mask meaningful treatment-effect heterogeneity, so we estimate district-specific post effects directly rather than rely on a single pooled interaction (de Chaisemartin &amp; D’Haultfœuille, 2020; Goodman-Bacon, 2021; Sun &amp; Abraham, 2021).</w:t>
      </w:r>
      <w:bookmarkEnd w:id="5"/>
    </w:p>
    <w:p>
      <w:pPr>
        <w:pStyle w:val="Heading3"/>
        <w:spacing w:lineRule="auto" w:line="480"/>
        <w:rPr>
          <w:rFonts w:ascii="Liberation Serif" w:hAnsi="Liberation Serif"/>
        </w:rPr>
      </w:pPr>
      <w:r>
        <w:rPr>
          <w:rFonts w:ascii="Liberation Serif" w:hAnsi="Liberation Serif"/>
        </w:rPr>
        <w:t>Model 3: Offshore moderation (H5)</w:t>
      </w:r>
    </w:p>
    <w:p>
      <w:pPr>
        <w:pStyle w:val="FirstParagraph"/>
        <w:spacing w:lineRule="auto" w:line="480"/>
        <w:rPr>
          <w:rFonts w:ascii="Liberation Serif" w:hAnsi="Liberation Serif"/>
        </w:rPr>
      </w:pPr>
      <w:bookmarkStart w:id="6" w:name="model-3-offshore-moderation-h5"/>
      <w:r>
        <w:rPr/>
        <w:t>Model 3 adds an offshore-by-post interaction term to Model 2 to test whether offshore-regulating districts differ systematically from other districts after conditioning on district-specific post-policy shifts.</w:t>
      </w:r>
      <w:bookmarkEnd w:id="6"/>
    </w:p>
    <w:p>
      <w:pPr>
        <w:pStyle w:val="Heading3"/>
        <w:spacing w:lineRule="auto" w:line="480"/>
        <w:rPr>
          <w:rFonts w:ascii="Liberation Serif" w:hAnsi="Liberation Serif"/>
        </w:rPr>
      </w:pPr>
      <w:r>
        <w:rPr>
          <w:rFonts w:ascii="Liberation Serif" w:hAnsi="Liberation Serif"/>
        </w:rPr>
        <w:t>Spatial diagnostic (H4)</w:t>
      </w:r>
    </w:p>
    <w:p>
      <w:pPr>
        <w:pStyle w:val="FirstParagraph"/>
        <w:spacing w:lineRule="auto" w:line="480"/>
        <w:rPr>
          <w:rFonts w:ascii="Liberation Serif" w:hAnsi="Liberation Serif"/>
        </w:rPr>
      </w:pPr>
      <w:r>
        <w:rPr/>
        <w:t>After estimating district treatment effects, we test for global spatial autocorrelation using permutation-based Moran’s I (Anselin, 1995). The statistic is computed from a manually specified district contiguity matrix and evaluated with randomization inference (5,000 permutations), assessing whether high- and low-response districts are geographically clustered in ways consistent with diffusion or regional administrative spillovers.</w:t>
      </w:r>
    </w:p>
    <w:p>
      <w:pPr>
        <w:pStyle w:val="BodyText"/>
        <w:spacing w:lineRule="auto" w:line="480"/>
        <w:rPr>
          <w:rFonts w:ascii="Liberation Serif" w:hAnsi="Liberation Serif"/>
        </w:rPr>
      </w:pPr>
      <w:bookmarkStart w:id="7" w:name="spatial-diagnostic-h4"/>
      <w:bookmarkStart w:id="8" w:name="empirical-strategy"/>
      <w:r>
        <w:rPr/>
        <w:t>All models use district-clustered standard errors. Full formal equations and notation are reported in the appendix.</w:t>
      </w:r>
      <w:bookmarkEnd w:id="7"/>
      <w:bookmarkEnd w:id="8"/>
    </w:p>
    <w:p>
      <w:pPr>
        <w:pStyle w:val="Heading2"/>
        <w:spacing w:lineRule="auto" w:line="480"/>
        <w:rPr>
          <w:rFonts w:ascii="Liberation Serif" w:hAnsi="Liberation Serif"/>
        </w:rPr>
      </w:pPr>
      <w:bookmarkStart w:id="9" w:name="results"/>
      <w:r>
        <w:rPr>
          <w:rFonts w:ascii="Liberation Serif" w:hAnsi="Liberation Serif"/>
        </w:rPr>
        <w:t>Results</w:t>
      </w:r>
    </w:p>
    <w:p>
      <w:pPr>
        <w:pStyle w:val="Heading3"/>
        <w:spacing w:lineRule="auto" w:line="480"/>
        <w:rPr>
          <w:rFonts w:ascii="Liberation Serif" w:hAnsi="Liberation Serif"/>
        </w:rPr>
      </w:pPr>
      <w:r>
        <w:rPr>
          <w:rFonts w:ascii="Liberation Serif" w:hAnsi="Liberation Serif"/>
        </w:rPr>
        <w:t>Descriptive pipeline trends</w:t>
      </w:r>
    </w:p>
    <w:p>
      <w:pPr>
        <w:pStyle w:val="FirstParagraph"/>
        <w:spacing w:lineRule="auto" w:line="480"/>
        <w:rPr>
          <w:rFonts w:ascii="Liberation Serif" w:hAnsi="Liberation Serif"/>
        </w:rPr>
      </w:pPr>
      <w:r>
        <w:rPr/>
        <w:t>Pre/post means indicate lower average enforcement delay post-policy (174.3 to 112.3 days), but reduced inspection frequency intensity (higher days between inspections). Figure 1 visualizes these system-level changes across the regulatory pipeline. The key descriptive pattern is that timeliness improves over the post-policy period even as inspection cadence shifts, motivating a design that separates immediate policy breaks from post-policy trend effects.</w:t>
      </w:r>
    </w:p>
    <w:p>
      <w:pPr>
        <w:pStyle w:val="CaptionedFigure"/>
        <w:spacing w:lineRule="auto" w:line="480"/>
        <w:rPr>
          <w:rFonts w:ascii="Liberation Serif" w:hAnsi="Liberation Serif"/>
        </w:rPr>
      </w:pPr>
      <w:r>
        <w:rPr>
          <w:rFonts w:ascii="Liberation Serif" w:hAnsi="Liberation Serif"/>
        </w:rPr>
        <w:drawing>
          <wp:anchor behindDoc="0" distT="0" distB="0" distL="114935" distR="114935" simplePos="0" locked="0" layoutInCell="0" allowOverlap="1" relativeHeight="6">
            <wp:simplePos x="0" y="0"/>
            <wp:positionH relativeFrom="column">
              <wp:align>center</wp:align>
            </wp:positionH>
            <wp:positionV relativeFrom="paragraph">
              <wp:posOffset>635</wp:posOffset>
            </wp:positionV>
            <wp:extent cx="5943600" cy="2962910"/>
            <wp:effectExtent l="0" t="0" r="0" b="0"/>
            <wp:wrapSquare wrapText="largest"/>
            <wp:docPr id="1" name="Picture" descr="Figure 1. Regulatory pipeline trends, 2015-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Figure 1. Regulatory pipeline trends, 2015-2025."/>
                    <pic:cNvPicPr>
                      <a:picLocks noChangeAspect="1" noChangeArrowheads="1"/>
                    </pic:cNvPicPr>
                  </pic:nvPicPr>
                  <pic:blipFill>
                    <a:blip r:embed="rId2"/>
                    <a:stretch>
                      <a:fillRect/>
                    </a:stretch>
                  </pic:blipFill>
                  <pic:spPr bwMode="auto">
                    <a:xfrm>
                      <a:off x="0" y="0"/>
                      <a:ext cx="5943600" cy="2962910"/>
                    </a:xfrm>
                    <a:prstGeom prst="rect">
                      <a:avLst/>
                    </a:prstGeom>
                    <a:noFill/>
                  </pic:spPr>
                </pic:pic>
              </a:graphicData>
            </a:graphic>
          </wp:anchor>
        </w:drawing>
      </w:r>
    </w:p>
    <w:p>
      <w:pPr>
        <w:pStyle w:val="ImageCaption"/>
        <w:spacing w:lineRule="auto" w:line="480"/>
        <w:rPr>
          <w:rFonts w:ascii="Liberation Serif" w:hAnsi="Liberation Serif"/>
        </w:rPr>
      </w:pPr>
      <w:bookmarkStart w:id="10" w:name="descriptive-pipeline-trends"/>
      <w:r>
        <w:rPr>
          <w:rFonts w:ascii="Liberation Serif" w:hAnsi="Liberation Serif"/>
        </w:rPr>
        <w:t>Figure 1. Regulatory pipeline trends, 2015-2025.</w:t>
      </w:r>
      <w:bookmarkEnd w:id="10"/>
    </w:p>
    <w:p>
      <w:pPr>
        <w:pStyle w:val="Heading3"/>
        <w:spacing w:lineRule="auto" w:line="480"/>
        <w:rPr>
          <w:rFonts w:ascii="Liberation Serif" w:hAnsi="Liberation Serif"/>
        </w:rPr>
      </w:pPr>
      <w:r>
        <w:rPr>
          <w:rFonts w:ascii="Liberation Serif" w:hAnsi="Liberation Serif"/>
        </w:rPr>
        <w:t>H1: Policy-year effects (all districts)</w:t>
      </w:r>
    </w:p>
    <w:p>
      <w:pPr>
        <w:pStyle w:val="FirstParagraph"/>
        <w:spacing w:lineRule="auto" w:line="480"/>
        <w:rPr>
          <w:rFonts w:ascii="Liberation Serif" w:hAnsi="Liberation Serif"/>
        </w:rPr>
      </w:pPr>
      <w:r>
        <w:rPr>
          <w:b/>
          <w:bCs/>
        </w:rPr>
        <w:t>Model 1 (timing outcome):</w:t>
      </w:r>
    </w:p>
    <w:p>
      <w:pPr>
        <w:pStyle w:val="Compact"/>
        <w:numPr>
          <w:ilvl w:val="0"/>
          <w:numId w:val="1"/>
        </w:numPr>
        <w:spacing w:lineRule="auto" w:line="480"/>
        <w:rPr>
          <w:rFonts w:ascii="Liberation Serif" w:hAnsi="Liberation Serif"/>
        </w:rPr>
      </w:pPr>
      <w:r>
        <w:rPr/>
        <w:t>Immediate post-2019 level shift: 0.1514, p=0.3294.</w:t>
      </w:r>
    </w:p>
    <w:p>
      <w:pPr>
        <w:pStyle w:val="Compact"/>
        <w:numPr>
          <w:ilvl w:val="0"/>
          <w:numId w:val="1"/>
        </w:numPr>
        <w:spacing w:lineRule="auto" w:line="480"/>
        <w:rPr>
          <w:rFonts w:ascii="Liberation Serif" w:hAnsi="Liberation Serif"/>
        </w:rPr>
      </w:pPr>
      <w:r>
        <w:rPr/>
        <w:t>Post-2019 slope shift: -0.3603, p=0.0010.</w:t>
      </w:r>
    </w:p>
    <w:p>
      <w:pPr>
        <w:pStyle w:val="FirstParagraph"/>
        <w:spacing w:lineRule="auto" w:line="480"/>
        <w:rPr>
          <w:rFonts w:ascii="Liberation Serif" w:hAnsi="Liberation Serif"/>
        </w:rPr>
      </w:pPr>
      <w:r>
        <w:rPr/>
        <w:t>Interpretation: no statistically significant immediate level break in 2019, but a significant post-policy acceleration trend in enforcement timing.</w:t>
      </w:r>
    </w:p>
    <w:p>
      <w:pPr>
        <w:pStyle w:val="BodyText"/>
        <w:spacing w:lineRule="auto" w:line="480"/>
        <w:rPr>
          <w:rFonts w:ascii="Liberation Serif" w:hAnsi="Liberation Serif"/>
        </w:rPr>
      </w:pPr>
      <w:r>
        <w:rPr>
          <w:b/>
          <w:bCs/>
        </w:rPr>
        <w:t>Table 1. Core policy-year and moderator estimates</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1872"/>
        <w:gridCol w:w="1872"/>
        <w:gridCol w:w="1872"/>
        <w:gridCol w:w="1872"/>
        <w:gridCol w:w="1872"/>
      </w:tblGrid>
      <w:tr>
        <w:trPr>
          <w:tblHeader w:val="true"/>
        </w:trPr>
        <w:tc>
          <w:tcPr>
            <w:tcW w:w="1872" w:type="dxa"/>
            <w:tcBorders>
              <w:bottom w:val="single" w:sz="6" w:space="0" w:color="000000"/>
            </w:tcBorders>
            <w:vAlign w:val="bottom"/>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Model</w:t>
            </w:r>
          </w:p>
        </w:tc>
        <w:tc>
          <w:tcPr>
            <w:tcW w:w="1872" w:type="dxa"/>
            <w:tcBorders>
              <w:bottom w:val="single" w:sz="6" w:space="0" w:color="000000"/>
            </w:tcBorders>
            <w:vAlign w:val="bottom"/>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Effect term</w:t>
            </w:r>
          </w:p>
        </w:tc>
        <w:tc>
          <w:tcPr>
            <w:tcW w:w="1872" w:type="dxa"/>
            <w:tcBorders>
              <w:bottom w:val="single" w:sz="6" w:space="0" w:color="000000"/>
            </w:tcBorders>
            <w:vAlign w:val="bottom"/>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Coefficient</w:t>
            </w:r>
          </w:p>
        </w:tc>
        <w:tc>
          <w:tcPr>
            <w:tcW w:w="1872" w:type="dxa"/>
            <w:tcBorders>
              <w:bottom w:val="single" w:sz="6" w:space="0" w:color="000000"/>
            </w:tcBorders>
            <w:vAlign w:val="bottom"/>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P-value</w:t>
            </w:r>
          </w:p>
        </w:tc>
        <w:tc>
          <w:tcPr>
            <w:tcW w:w="1872" w:type="dxa"/>
            <w:tcBorders>
              <w:bottom w:val="single" w:sz="6" w:space="0" w:color="000000"/>
            </w:tcBorders>
            <w:vAlign w:val="bottom"/>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Interpretation</w:t>
            </w:r>
          </w:p>
        </w:tc>
      </w:tr>
      <w:tr>
        <w:trPr/>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Model 1 (All districts, interrupted panel)</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Immediate post-2019 level shift</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0.1514</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0.3294</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No immediate level break</w:t>
            </w:r>
          </w:p>
        </w:tc>
      </w:tr>
      <w:tr>
        <w:trPr/>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Model 1 (All districts, interrupted panel)</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Post-2019 annual trend shift</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-0.3603</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0.0010</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Significant post-policy acceleration trend</w:t>
            </w:r>
          </w:p>
        </w:tc>
      </w:tr>
      <w:tr>
        <w:trPr/>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Model 3 (District heterogeneity + offshore)</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Offshore-by-post-policy differential</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0.3819</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&lt;0.001</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Offshore districts relatively slower post-policy timing</w:t>
            </w:r>
          </w:p>
        </w:tc>
      </w:tr>
    </w:tbl>
    <w:p>
      <w:pPr>
        <w:pStyle w:val="BodyText"/>
        <w:spacing w:lineRule="auto" w:line="480"/>
        <w:rPr>
          <w:rFonts w:ascii="Liberation Serif" w:hAnsi="Liberation Serif"/>
        </w:rPr>
      </w:pPr>
      <w:r>
        <w:rPr/>
        <w:t>Table 1 provides the baseline inferential results for the article’s identification strategy. The table shows that the main all-district effect appears in the post-policy slope term rather than a one-time post-2019 level break, and it also shows that offshore jurisdiction remains a statistically important differential once district heterogeneity is modeled.</w:t>
      </w:r>
    </w:p>
    <w:p>
      <w:pPr>
        <w:pStyle w:val="BodyText"/>
        <w:spacing w:lineRule="auto" w:line="480"/>
        <w:rPr>
          <w:rFonts w:ascii="Liberation Serif" w:hAnsi="Liberation Serif"/>
        </w:rPr>
      </w:pPr>
      <w:r>
        <w:rPr/>
        <w:t>Event-study decomposition (relative to 2018) corroborates this dynamic pattern:</w:t>
      </w:r>
    </w:p>
    <w:p>
      <w:pPr>
        <w:pStyle w:val="Compact"/>
        <w:numPr>
          <w:ilvl w:val="0"/>
          <w:numId w:val="1"/>
        </w:numPr>
        <w:spacing w:lineRule="auto" w:line="480"/>
        <w:rPr>
          <w:rFonts w:ascii="Liberation Serif" w:hAnsi="Liberation Serif"/>
        </w:rPr>
      </w:pPr>
      <w:r>
        <w:rPr/>
        <w:t>No significant pre-policy years (2015-2017).</w:t>
      </w:r>
    </w:p>
    <w:p>
      <w:pPr>
        <w:pStyle w:val="Compact"/>
        <w:numPr>
          <w:ilvl w:val="0"/>
          <w:numId w:val="1"/>
        </w:numPr>
        <w:spacing w:lineRule="auto" w:line="480"/>
        <w:rPr>
          <w:rFonts w:ascii="Liberation Serif" w:hAnsi="Liberation Serif"/>
        </w:rPr>
      </w:pPr>
      <w:r>
        <w:rPr/>
        <w:t>Significant negative deviations in 2022, 2024, and 2025.</w:t>
      </w:r>
    </w:p>
    <w:p>
      <w:pPr>
        <w:pStyle w:val="FirstParagraph"/>
        <w:spacing w:lineRule="auto" w:line="480"/>
        <w:rPr>
          <w:rFonts w:ascii="Liberation Serif" w:hAnsi="Liberation Serif"/>
        </w:rPr>
      </w:pPr>
      <w:r>
        <w:rPr>
          <w:b/>
          <w:bCs/>
        </w:rPr>
        <w:t>Table 2. Event-study coefficients (all districts, reference year = 2018)</w:t>
      </w:r>
    </w:p>
    <w:tbl>
      <w:tblPr>
        <w:tblStyle w:val="Table"/>
        <w:tblW w:w="7920" w:type="dxa"/>
        <w:jc w:val="left"/>
        <w:tblInd w:w="0" w:type="dxa"/>
        <w:tblLayout w:type="fixed"/>
        <w:tblCellMar>
          <w:top w:w="0" w:type="dxa"/>
          <w:left w:w="108" w:type="dxa"/>
          <w:bottom w:w="0" w:type="dxa"/>
          <w:right w:w="108" w:type="dxa"/>
        </w:tblCellMar>
        <w:tblLook w:val="0020" w:noHBand="0" w:noVBand="0" w:firstColumn="0" w:lastRow="0" w:lastColumn="0" w:firstRow="1"/>
      </w:tblPr>
      <w:tblGrid>
        <w:gridCol w:w="2640"/>
        <w:gridCol w:w="2640"/>
        <w:gridCol w:w="2640"/>
      </w:tblGrid>
      <w:tr>
        <w:trPr>
          <w:tblHeader w:val="true"/>
        </w:trPr>
        <w:tc>
          <w:tcPr>
            <w:tcW w:w="2640" w:type="dxa"/>
            <w:tcBorders>
              <w:bottom w:val="single" w:sz="6" w:space="0" w:color="000000"/>
            </w:tcBorders>
            <w:vAlign w:val="bottom"/>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Year</w:t>
            </w:r>
          </w:p>
        </w:tc>
        <w:tc>
          <w:tcPr>
            <w:tcW w:w="2640" w:type="dxa"/>
            <w:tcBorders>
              <w:bottom w:val="single" w:sz="6" w:space="0" w:color="000000"/>
            </w:tcBorders>
            <w:vAlign w:val="bottom"/>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Coefficient</w:t>
            </w:r>
          </w:p>
        </w:tc>
        <w:tc>
          <w:tcPr>
            <w:tcW w:w="2640" w:type="dxa"/>
            <w:tcBorders>
              <w:bottom w:val="single" w:sz="6" w:space="0" w:color="000000"/>
            </w:tcBorders>
            <w:vAlign w:val="bottom"/>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P-value</w:t>
            </w:r>
          </w:p>
        </w:tc>
      </w:tr>
      <w:tr>
        <w:trPr/>
        <w:tc>
          <w:tcPr>
            <w:tcW w:w="26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2015</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-0.4592</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0.0658</w:t>
            </w:r>
          </w:p>
        </w:tc>
      </w:tr>
      <w:tr>
        <w:trPr/>
        <w:tc>
          <w:tcPr>
            <w:tcW w:w="26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2016</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-0.3359</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0.1615</w:t>
            </w:r>
          </w:p>
        </w:tc>
      </w:tr>
      <w:tr>
        <w:trPr/>
        <w:tc>
          <w:tcPr>
            <w:tcW w:w="26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2017</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-0.0385</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0.7502</w:t>
            </w:r>
          </w:p>
        </w:tc>
      </w:tr>
      <w:tr>
        <w:trPr/>
        <w:tc>
          <w:tcPr>
            <w:tcW w:w="26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2018 (reference)</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0.0000</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1.0000</w:t>
            </w:r>
          </w:p>
        </w:tc>
      </w:tr>
      <w:tr>
        <w:trPr/>
        <w:tc>
          <w:tcPr>
            <w:tcW w:w="26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2019</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-0.1149</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0.2843</w:t>
            </w:r>
          </w:p>
        </w:tc>
      </w:tr>
      <w:tr>
        <w:trPr/>
        <w:tc>
          <w:tcPr>
            <w:tcW w:w="26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2020</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-0.1666</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0.3878</w:t>
            </w:r>
          </w:p>
        </w:tc>
      </w:tr>
      <w:tr>
        <w:trPr/>
        <w:tc>
          <w:tcPr>
            <w:tcW w:w="26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2021</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-0.4192</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0.1072</w:t>
            </w:r>
          </w:p>
        </w:tc>
      </w:tr>
      <w:tr>
        <w:trPr/>
        <w:tc>
          <w:tcPr>
            <w:tcW w:w="26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2022</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-0.5853</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0.0333</w:t>
            </w:r>
          </w:p>
        </w:tc>
      </w:tr>
      <w:tr>
        <w:trPr/>
        <w:tc>
          <w:tcPr>
            <w:tcW w:w="26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2023</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-0.4899</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0.1160</w:t>
            </w:r>
          </w:p>
        </w:tc>
      </w:tr>
      <w:tr>
        <w:trPr/>
        <w:tc>
          <w:tcPr>
            <w:tcW w:w="26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2024</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-0.7829</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0.0057</w:t>
            </w:r>
          </w:p>
        </w:tc>
      </w:tr>
      <w:tr>
        <w:trPr/>
        <w:tc>
          <w:tcPr>
            <w:tcW w:w="26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2025</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-1.4800</w:t>
            </w:r>
          </w:p>
        </w:tc>
        <w:tc>
          <w:tcPr>
            <w:tcW w:w="2640"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&lt;0.001</w:t>
            </w:r>
          </w:p>
        </w:tc>
      </w:tr>
    </w:tbl>
    <w:p>
      <w:pPr>
        <w:pStyle w:val="BodyText"/>
        <w:spacing w:lineRule="auto" w:line="480"/>
        <w:rPr>
          <w:rFonts w:ascii="Liberation Serif" w:hAnsi="Liberation Serif"/>
        </w:rPr>
      </w:pPr>
      <w:r>
        <w:rPr/>
        <w:t>Table 2 highlights the years when post-policy deviations are most pronounced. Substantively, these estimates indicate that the policy response intensifies over time instead of materializing immediately in 2019.</w:t>
      </w:r>
    </w:p>
    <w:p>
      <w:pPr>
        <w:pStyle w:val="CaptionedFigure"/>
        <w:spacing w:lineRule="auto" w:line="480"/>
        <w:rPr>
          <w:rFonts w:ascii="Liberation Serif" w:hAnsi="Liberation Serif"/>
        </w:rPr>
      </w:pPr>
      <w:r>
        <w:rPr>
          <w:rFonts w:ascii="Liberation Serif" w:hAnsi="Liberation Serif"/>
        </w:rPr>
        <w:drawing>
          <wp:anchor behindDoc="0" distT="0" distB="0" distL="114935" distR="114935" simplePos="0" locked="0" layoutInCell="0" allowOverlap="1" relativeHeight="7">
            <wp:simplePos x="0" y="0"/>
            <wp:positionH relativeFrom="column">
              <wp:align>center</wp:align>
            </wp:positionH>
            <wp:positionV relativeFrom="paragraph">
              <wp:posOffset>635</wp:posOffset>
            </wp:positionV>
            <wp:extent cx="5706110" cy="2797810"/>
            <wp:effectExtent l="0" t="0" r="0" b="0"/>
            <wp:wrapSquare wrapText="largest"/>
            <wp:docPr id="2" name="Image2" descr="Figure 2. All-district event-study decomposition and offshore differential annual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Figure 2. All-district event-study decomposition and offshore differential annual effects."/>
                    <pic:cNvPicPr>
                      <a:picLocks noChangeAspect="1" noChangeArrowheads="1"/>
                    </pic:cNvPicPr>
                  </pic:nvPicPr>
                  <pic:blipFill>
                    <a:blip r:embed="rId3"/>
                    <a:stretch>
                      <a:fillRect/>
                    </a:stretch>
                  </pic:blipFill>
                  <pic:spPr bwMode="auto">
                    <a:xfrm>
                      <a:off x="0" y="0"/>
                      <a:ext cx="5706110" cy="2797810"/>
                    </a:xfrm>
                    <a:prstGeom prst="rect">
                      <a:avLst/>
                    </a:prstGeom>
                    <a:noFill/>
                  </pic:spPr>
                </pic:pic>
              </a:graphicData>
            </a:graphic>
          </wp:anchor>
        </w:drawing>
      </w:r>
    </w:p>
    <w:p>
      <w:pPr>
        <w:pStyle w:val="ImageCaption"/>
        <w:spacing w:lineRule="auto" w:line="480"/>
        <w:rPr>
          <w:rFonts w:ascii="Liberation Serif" w:hAnsi="Liberation Serif"/>
        </w:rPr>
      </w:pPr>
      <w:r>
        <w:rPr>
          <w:rFonts w:ascii="Liberation Serif" w:hAnsi="Liberation Serif"/>
        </w:rPr>
        <w:t>Figure 2. All-district event-study decomposition and offshore differential annual effects.</w:t>
      </w:r>
    </w:p>
    <w:p>
      <w:pPr>
        <w:pStyle w:val="BodyText"/>
        <w:spacing w:lineRule="auto" w:line="480"/>
        <w:rPr>
          <w:rFonts w:ascii="Liberation Serif" w:hAnsi="Liberation Serif"/>
        </w:rPr>
      </w:pPr>
      <w:bookmarkStart w:id="11" w:name="h1-policy-year-effects-all-districts"/>
      <w:r>
        <w:rPr/>
        <w:t>Figure 2 complements Table 2 by displaying the full time path (including pre-policy years), making the absence of pre-trend significance and the later post-policy acceleration visually transparent.</w:t>
      </w:r>
      <w:bookmarkEnd w:id="11"/>
    </w:p>
    <w:p>
      <w:pPr>
        <w:pStyle w:val="Heading3"/>
        <w:spacing w:lineRule="auto" w:line="480"/>
        <w:rPr>
          <w:rFonts w:ascii="Liberation Serif" w:hAnsi="Liberation Serif"/>
        </w:rPr>
      </w:pPr>
      <w:r>
        <w:rPr>
          <w:rFonts w:ascii="Liberation Serif" w:hAnsi="Liberation Serif"/>
        </w:rPr>
        <w:t>H2: District heterogeneity</w:t>
      </w:r>
    </w:p>
    <w:p>
      <w:pPr>
        <w:pStyle w:val="FirstParagraph"/>
        <w:spacing w:lineRule="auto" w:line="480"/>
        <w:rPr>
          <w:rFonts w:ascii="Liberation Serif" w:hAnsi="Liberation Serif"/>
        </w:rPr>
      </w:pPr>
      <w:r>
        <w:rPr/>
        <w:t>District-level post-policy responses are substantively heterogeneous in magnitude and direction, ranging from substantial acceleration (e.g., District 09) to substantial slowdown (e.g., Districts 03 and 04). The omnibus joint test of district-by-post terms in this specification is not statistically significant (Wald chi-square = 0.670, p=0.4130), so this heterogeneity is treated as descriptive/structural variation rather than a decisive global rejection test.</w:t>
      </w:r>
    </w:p>
    <w:p>
      <w:pPr>
        <w:pStyle w:val="BodyText"/>
        <w:spacing w:lineRule="auto" w:line="480"/>
        <w:rPr>
          <w:rFonts w:ascii="Liberation Serif" w:hAnsi="Liberation Serif"/>
        </w:rPr>
      </w:pPr>
      <w:r>
        <w:rPr/>
        <w:t>From district effect summaries used in mapping:</w:t>
      </w:r>
    </w:p>
    <w:p>
      <w:pPr>
        <w:pStyle w:val="Compact"/>
        <w:numPr>
          <w:ilvl w:val="0"/>
          <w:numId w:val="1"/>
        </w:numPr>
        <w:spacing w:lineRule="auto" w:line="480"/>
        <w:rPr>
          <w:rFonts w:ascii="Liberation Serif" w:hAnsi="Liberation Serif"/>
        </w:rPr>
      </w:pPr>
      <w:r>
        <w:rPr/>
        <w:t>Best improvement: District 09 (about -52.6%).</w:t>
      </w:r>
    </w:p>
    <w:p>
      <w:pPr>
        <w:pStyle w:val="Compact"/>
        <w:numPr>
          <w:ilvl w:val="0"/>
          <w:numId w:val="1"/>
        </w:numPr>
        <w:spacing w:lineRule="auto" w:line="480"/>
        <w:rPr>
          <w:rFonts w:ascii="Liberation Serif" w:hAnsi="Liberation Serif"/>
        </w:rPr>
      </w:pPr>
      <w:r>
        <w:rPr/>
        <w:t>Largest deterioration: District 04 (about +138.5%).</w:t>
      </w:r>
    </w:p>
    <w:p>
      <w:pPr>
        <w:pStyle w:val="FirstParagraph"/>
        <w:spacing w:lineRule="auto" w:line="480"/>
        <w:rPr>
          <w:rFonts w:ascii="Liberation Serif" w:hAnsi="Liberation Serif"/>
        </w:rPr>
      </w:pPr>
      <w:r>
        <w:rPr/>
        <w:t>Figure 3 presents the estimated district-specific effects directly, while Figure 4 maps those effects geographically. Together they demonstrate that heterogeneity is not a minor perturbation around a common effect but a core empirical feature of the policy response.</w:t>
      </w:r>
    </w:p>
    <w:p>
      <w:pPr>
        <w:pStyle w:val="CaptionedFigure"/>
        <w:spacing w:lineRule="auto" w:line="480"/>
        <w:rPr>
          <w:rFonts w:ascii="Liberation Serif" w:hAnsi="Liberation Serif"/>
        </w:rPr>
      </w:pPr>
      <w:r>
        <w:rPr/>
        <w:drawing>
          <wp:inline distT="0" distB="0" distL="0" distR="0">
            <wp:extent cx="5943600" cy="3127375"/>
            <wp:effectExtent l="0" t="0" r="0" b="0"/>
            <wp:docPr id="3" name="Image3" descr="Figure 3. District-specific post-2019 treatment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Figure 3. District-specific post-2019 treatment effects."/>
                    <pic:cNvPicPr>
                      <a:picLocks noChangeAspect="1" noChangeArrowheads="1"/>
                    </pic:cNvPicPr>
                  </pic:nvPicPr>
                  <pic:blipFill>
                    <a:blip r:embed="rId4"/>
                    <a:stretch>
                      <a:fillRect/>
                    </a:stretch>
                  </pic:blipFill>
                  <pic:spPr bwMode="auto">
                    <a:xfrm>
                      <a:off x="0" y="0"/>
                      <a:ext cx="5943600" cy="3127375"/>
                    </a:xfrm>
                    <a:prstGeom prst="rect">
                      <a:avLst/>
                    </a:prstGeom>
                    <a:noFill/>
                  </pic:spPr>
                </pic:pic>
              </a:graphicData>
            </a:graphic>
          </wp:inline>
        </w:drawing>
      </w:r>
    </w:p>
    <w:p>
      <w:pPr>
        <w:pStyle w:val="ImageCaption"/>
        <w:spacing w:lineRule="auto" w:line="480"/>
        <w:rPr>
          <w:rFonts w:ascii="Liberation Serif" w:hAnsi="Liberation Serif"/>
        </w:rPr>
      </w:pPr>
      <w:r>
        <w:rPr>
          <w:rFonts w:ascii="Liberation Serif" w:hAnsi="Liberation Serif"/>
        </w:rPr>
        <w:t>Figure 3. District-specific post-2019 treatment effects.</w:t>
      </w:r>
    </w:p>
    <w:p>
      <w:pPr>
        <w:pStyle w:val="BodyText"/>
        <w:spacing w:lineRule="auto" w:line="480"/>
        <w:rPr>
          <w:rFonts w:ascii="Liberation Serif" w:hAnsi="Liberation Serif"/>
        </w:rPr>
      </w:pPr>
      <w:r>
        <w:rPr/>
        <w:t>To show where these effects are concentrated geographically, Figure 4 maps district-level percent changes in enforcement timing.</w:t>
      </w:r>
      <w:r>
        <w:rPr/>
        <w:drawing>
          <wp:inline distT="0" distB="0" distL="0" distR="0">
            <wp:extent cx="4457700" cy="6172200"/>
            <wp:effectExtent l="0" t="0" r="0" b="0"/>
            <wp:docPr id="4" name="Image4" descr="Figure 4. Geographic distribution of district treatment effects (percent change in days to enforc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Figure 4. Geographic distribution of district treatment effects (percent change in days to enforcement)."/>
                    <pic:cNvPicPr>
                      <a:picLocks noChangeAspect="1" noChangeArrowheads="1"/>
                    </pic:cNvPicPr>
                  </pic:nvPicPr>
                  <pic:blipFill>
                    <a:blip r:embed="rId5"/>
                    <a:stretch>
                      <a:fillRect/>
                    </a:stretch>
                  </pic:blipFill>
                  <pic:spPr bwMode="auto">
                    <a:xfrm>
                      <a:off x="0" y="0"/>
                      <a:ext cx="4457700" cy="6172200"/>
                    </a:xfrm>
                    <a:prstGeom prst="rect">
                      <a:avLst/>
                    </a:prstGeom>
                    <a:noFill/>
                  </pic:spPr>
                </pic:pic>
              </a:graphicData>
            </a:graphic>
          </wp:inline>
        </w:drawing>
      </w:r>
    </w:p>
    <w:p>
      <w:pPr>
        <w:pStyle w:val="ImageCaption"/>
        <w:spacing w:lineRule="auto" w:line="240"/>
        <w:rPr>
          <w:rFonts w:ascii="Liberation Serif" w:hAnsi="Liberation Serif"/>
        </w:rPr>
      </w:pPr>
      <w:r>
        <w:rPr>
          <w:rFonts w:ascii="Liberation Serif" w:hAnsi="Liberation Serif"/>
        </w:rPr>
        <w:t>Figure 4. Geographic distribution of district treatment effects (percent change in days to enforcement)</w:t>
      </w:r>
      <w:r>
        <w:rPr>
          <w:rStyle w:val="FootnoteReference"/>
          <w:rFonts w:ascii="Liberation Serif" w:hAnsi="Liberation Serif"/>
        </w:rPr>
        <w:footnoteReference w:id="2"/>
      </w:r>
      <w:r>
        <w:rPr>
          <w:rFonts w:ascii="Liberation Serif" w:hAnsi="Liberation Serif"/>
        </w:rPr>
        <w:t>.</w:t>
      </w:r>
    </w:p>
    <w:p>
      <w:pPr>
        <w:pStyle w:val="BodyText"/>
        <w:spacing w:lineRule="auto" w:line="480"/>
        <w:rPr>
          <w:rFonts w:ascii="Liberation Serif" w:hAnsi="Liberation Serif"/>
        </w:rPr>
      </w:pPr>
      <w:bookmarkStart w:id="12" w:name="h2-district-heterogeneity"/>
      <w:r>
        <w:rPr/>
        <w:t>The map indicates that large positive and negative effects coexist across regions, reinforcing the need to model district-level discretion explicitly rather than assuming uniform policy implementation.</w:t>
      </w:r>
      <w:bookmarkEnd w:id="12"/>
    </w:p>
    <w:p>
      <w:pPr>
        <w:pStyle w:val="Heading3"/>
        <w:spacing w:lineRule="auto" w:line="480"/>
        <w:rPr>
          <w:rFonts w:ascii="Liberation Serif" w:hAnsi="Liberation Serif"/>
        </w:rPr>
      </w:pPr>
      <w:bookmarkStart w:id="13" w:name="h5-offshore-moderation"/>
      <w:r>
        <w:rPr>
          <w:rFonts w:ascii="Liberation Serif" w:hAnsi="Liberation Serif"/>
        </w:rPr>
        <w:t>H5: Offshore moderation</w:t>
      </w:r>
    </w:p>
    <w:p>
      <w:pPr>
        <w:pStyle w:val="FirstParagraph"/>
        <w:spacing w:lineRule="auto" w:line="480"/>
        <w:rPr>
          <w:rFonts w:ascii="Liberation Serif" w:hAnsi="Liberation Serif"/>
        </w:rPr>
      </w:pPr>
      <w:r>
        <w:rPr/>
        <w:t xml:space="preserve">In the conditional heterogeneity model (Model 3), the offshore-by-post-policy differential = 0.3819, p&lt;0.001. This estimand is the average post-2019 offshore differential conditional on district-specific post-policy effects. Because the outcome is logged enforcement delay, the coefficient implies an approximate </w:t>
      </w:r>
      <w:r>
        <w:rPr/>
      </w:r>
      <m:oMath xmlns:m="http://schemas.openxmlformats.org/officeDocument/2006/math">
        <m:sSup>
          <m:e>
            <m:r>
              <w:rPr>
                <w:rFonts w:ascii="Cambria Math" w:hAnsi="Cambria Math"/>
              </w:rPr>
              <m:t xml:space="preserve">e</m:t>
            </m:r>
          </m:e>
          <m:sup>
            <m:r>
              <w:rPr>
                <w:rFonts w:ascii="Cambria Math" w:hAnsi="Cambria Math"/>
              </w:rPr>
              <m:t xml:space="preserve">0.3819</m:t>
            </m:r>
          </m:sup>
        </m:sSup>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46.5</m:t>
        </m:r>
        <m:r>
          <m:rPr>
            <m:lit/>
            <m:nor/>
          </m:rPr>
          <w:rPr>
            <w:rFonts w:ascii="Cambria Math" w:hAnsi="Cambria Math"/>
          </w:rPr>
          <m:t xml:space="preserve">%</m:t>
        </m:r>
      </m:oMath>
      <w:r>
        <w:rPr/>
        <w:t xml:space="preserve"> relative increase in time-to-enforcement for offshore-regulating districts, holding the rest of the specification constant. Read jointly with the annual offshore differential results (Table C3 in the appendix), this pooled estimate should be interpreted as an average over uneven yearly effects, with the strongest divergences concentrated in 2023-2024. Substantively, H5 is supported as a structured heterogeneity result within the all-district analysis, but it should not be interpreted as isolating a single offshore causal mechanism, given that offshore jurisdiction is concentrated in districts </w:t>
      </w:r>
      <w:bookmarkEnd w:id="13"/>
      <w:r>
        <w:rPr/>
        <w:t>2, 3, and 4.</w:t>
      </w:r>
    </w:p>
    <w:p>
      <w:pPr>
        <w:pStyle w:val="Heading3"/>
        <w:spacing w:lineRule="auto" w:line="480"/>
        <w:rPr>
          <w:rFonts w:ascii="Liberation Serif" w:hAnsi="Liberation Serif"/>
        </w:rPr>
      </w:pPr>
      <w:r>
        <w:rPr>
          <w:rFonts w:ascii="Liberation Serif" w:hAnsi="Liberation Serif"/>
        </w:rPr>
        <w:t>H3: Structural moderators</w:t>
      </w:r>
    </w:p>
    <w:p>
      <w:pPr>
        <w:pStyle w:val="FirstParagraph"/>
        <w:spacing w:lineRule="auto" w:line="480"/>
        <w:rPr>
          <w:rFonts w:ascii="Liberation Serif" w:hAnsi="Liberation Serif"/>
        </w:rPr>
      </w:pPr>
      <w:r>
        <w:rPr/>
        <w:t>Main moderator block:</w:t>
      </w:r>
    </w:p>
    <w:p>
      <w:pPr>
        <w:pStyle w:val="Compact"/>
        <w:numPr>
          <w:ilvl w:val="0"/>
          <w:numId w:val="1"/>
        </w:numPr>
        <w:spacing w:lineRule="auto" w:line="480"/>
        <w:rPr>
          <w:rFonts w:ascii="Liberation Serif" w:hAnsi="Liberation Serif"/>
        </w:rPr>
      </w:pPr>
      <w:r>
        <w:rPr/>
        <w:t>H3a Capacity: coef -0.0188, p=0.9415.</w:t>
      </w:r>
    </w:p>
    <w:p>
      <w:pPr>
        <w:pStyle w:val="Compact"/>
        <w:numPr>
          <w:ilvl w:val="0"/>
          <w:numId w:val="1"/>
        </w:numPr>
        <w:spacing w:lineRule="auto" w:line="480"/>
        <w:rPr>
          <w:rFonts w:ascii="Liberation Serif" w:hAnsi="Liberation Serif"/>
        </w:rPr>
      </w:pPr>
      <w:r>
        <w:rPr/>
        <w:t>H3b Baseline performance: coef -0.0884, p=0.7144.</w:t>
      </w:r>
    </w:p>
    <w:p>
      <w:pPr>
        <w:pStyle w:val="Compact"/>
        <w:numPr>
          <w:ilvl w:val="0"/>
          <w:numId w:val="1"/>
        </w:numPr>
        <w:spacing w:lineRule="auto" w:line="480"/>
        <w:rPr>
          <w:rFonts w:ascii="Liberation Serif" w:hAnsi="Liberation Serif"/>
        </w:rPr>
      </w:pPr>
      <w:r>
        <w:rPr/>
        <w:t>H3e Border proximity: coef -0.2768, p=0.3082.</w:t>
      </w:r>
    </w:p>
    <w:p>
      <w:pPr>
        <w:pStyle w:val="FirstParagraph"/>
        <w:spacing w:lineRule="auto" w:line="480"/>
        <w:rPr>
          <w:rFonts w:ascii="Liberation Serif" w:hAnsi="Liberation Serif"/>
        </w:rPr>
      </w:pPr>
      <w:r>
        <w:rPr/>
        <w:t>Deep-dive Twoway Fixed Effects (TWFE) block:</w:t>
      </w:r>
    </w:p>
    <w:p>
      <w:pPr>
        <w:pStyle w:val="Compact"/>
        <w:numPr>
          <w:ilvl w:val="0"/>
          <w:numId w:val="1"/>
        </w:numPr>
        <w:spacing w:lineRule="auto" w:line="480"/>
        <w:rPr>
          <w:rFonts w:ascii="Liberation Serif" w:hAnsi="Liberation Serif"/>
        </w:rPr>
      </w:pPr>
      <w:r>
        <w:rPr/>
        <w:t>H3c EJ context: coef 0.1818, p=0.4866.</w:t>
      </w:r>
    </w:p>
    <w:p>
      <w:pPr>
        <w:pStyle w:val="Compact"/>
        <w:numPr>
          <w:ilvl w:val="0"/>
          <w:numId w:val="1"/>
        </w:numPr>
        <w:spacing w:lineRule="auto" w:line="480"/>
        <w:rPr>
          <w:rFonts w:ascii="Liberation Serif" w:hAnsi="Liberation Serif"/>
        </w:rPr>
      </w:pPr>
      <w:r>
        <w:rPr/>
        <w:t>H3f Rurality: coef 0.2213, p=0.4649.</w:t>
      </w:r>
    </w:p>
    <w:p>
      <w:pPr>
        <w:pStyle w:val="Compact"/>
        <w:numPr>
          <w:ilvl w:val="0"/>
          <w:numId w:val="1"/>
        </w:numPr>
        <w:spacing w:lineRule="auto" w:line="480"/>
        <w:rPr>
          <w:rFonts w:ascii="Liberation Serif" w:hAnsi="Liberation Serif"/>
        </w:rPr>
      </w:pPr>
      <w:r>
        <w:rPr/>
        <w:t>H3e Border proximity: coef -0.3626, p=0.1669.</w:t>
      </w:r>
    </w:p>
    <w:p>
      <w:pPr>
        <w:pStyle w:val="Compact"/>
        <w:numPr>
          <w:ilvl w:val="0"/>
          <w:numId w:val="1"/>
        </w:numPr>
        <w:spacing w:lineRule="auto" w:line="480"/>
        <w:rPr>
          <w:rFonts w:ascii="Liberation Serif" w:hAnsi="Liberation Serif"/>
        </w:rPr>
      </w:pPr>
      <w:r>
        <w:rPr/>
        <w:t>H3d Geology: mixed basin interactions; some terms significant (p&lt;0.001).</w:t>
      </w:r>
    </w:p>
    <w:p>
      <w:pPr>
        <w:pStyle w:val="FirstParagraph"/>
        <w:spacing w:lineRule="auto" w:line="480"/>
        <w:rPr>
          <w:rFonts w:ascii="Liberation Serif" w:hAnsi="Liberation Serif"/>
        </w:rPr>
      </w:pPr>
      <w:r>
        <w:rPr/>
        <w:t>Overall, H3 receives limited support except partial geology effects.</w:t>
      </w:r>
    </w:p>
    <w:p>
      <w:pPr>
        <w:pStyle w:val="BodyText"/>
        <w:spacing w:lineRule="auto" w:line="480"/>
        <w:rPr>
          <w:rFonts w:ascii="Liberation Serif" w:hAnsi="Liberation Serif"/>
        </w:rPr>
      </w:pPr>
      <w:r>
        <w:rPr>
          <w:b/>
          <w:bCs/>
        </w:rPr>
        <w:t>Table 3. Structural moderator tests</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1872"/>
        <w:gridCol w:w="1872"/>
        <w:gridCol w:w="1872"/>
        <w:gridCol w:w="1872"/>
        <w:gridCol w:w="1872"/>
      </w:tblGrid>
      <w:tr>
        <w:trPr>
          <w:tblHeader w:val="true"/>
        </w:trPr>
        <w:tc>
          <w:tcPr>
            <w:tcW w:w="1872" w:type="dxa"/>
            <w:tcBorders>
              <w:bottom w:val="single" w:sz="6" w:space="0" w:color="000000"/>
            </w:tcBorders>
            <w:vAlign w:val="bottom"/>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Hypothesis</w:t>
            </w:r>
          </w:p>
        </w:tc>
        <w:tc>
          <w:tcPr>
            <w:tcW w:w="1872" w:type="dxa"/>
            <w:tcBorders>
              <w:bottom w:val="single" w:sz="6" w:space="0" w:color="000000"/>
            </w:tcBorders>
            <w:vAlign w:val="bottom"/>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Moderator term</w:t>
            </w:r>
          </w:p>
        </w:tc>
        <w:tc>
          <w:tcPr>
            <w:tcW w:w="1872" w:type="dxa"/>
            <w:tcBorders>
              <w:bottom w:val="single" w:sz="6" w:space="0" w:color="000000"/>
            </w:tcBorders>
            <w:vAlign w:val="bottom"/>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Coefficient</w:t>
            </w:r>
          </w:p>
        </w:tc>
        <w:tc>
          <w:tcPr>
            <w:tcW w:w="1872" w:type="dxa"/>
            <w:tcBorders>
              <w:bottom w:val="single" w:sz="6" w:space="0" w:color="000000"/>
            </w:tcBorders>
            <w:vAlign w:val="bottom"/>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P-value</w:t>
            </w:r>
          </w:p>
        </w:tc>
        <w:tc>
          <w:tcPr>
            <w:tcW w:w="1872" w:type="dxa"/>
            <w:tcBorders>
              <w:bottom w:val="single" w:sz="6" w:space="0" w:color="000000"/>
            </w:tcBorders>
            <w:vAlign w:val="bottom"/>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Result</w:t>
            </w:r>
          </w:p>
        </w:tc>
      </w:tr>
      <w:tr>
        <w:trPr/>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H3a Capacity</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High-capacity district x post-policy</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-0.0188</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0.9415</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Not supported</w:t>
            </w:r>
          </w:p>
        </w:tc>
      </w:tr>
      <w:tr>
        <w:trPr/>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H3b Baseline performance</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Low-baseline-compliance district x post-policy</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-0.0884</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0.7144</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Not supported</w:t>
            </w:r>
          </w:p>
        </w:tc>
      </w:tr>
      <w:tr>
        <w:trPr/>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H3c EJ context</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High-EJ district x post-policy</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0.1818</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0.4866</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Not supported</w:t>
            </w:r>
          </w:p>
        </w:tc>
      </w:tr>
      <w:tr>
        <w:trPr/>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H3e Border proximity</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Border-proximity district x post-policy</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-0.3626</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0.1669</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Not supported</w:t>
            </w:r>
          </w:p>
        </w:tc>
      </w:tr>
      <w:tr>
        <w:trPr/>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H3f Rurality</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High-rurality district x post-policy</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0.2213</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0.4649</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Not supported</w:t>
            </w:r>
          </w:p>
        </w:tc>
      </w:tr>
      <w:tr>
        <w:trPr/>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H3d Geology</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Basin category x post-policy interactions</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Mixed</w:t>
            </w:r>
          </w:p>
        </w:tc>
        <w:tc>
          <w:tcPr>
            <w:tcW w:w="1872" w:type="dxa"/>
            <w:tcBorders/>
          </w:tcPr>
          <w:p>
            <w:pPr>
              <w:pStyle w:val="Compact"/>
              <w:widowControl/>
              <w:suppressAutoHyphens w:val="true"/>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Mixed</w:t>
            </w:r>
          </w:p>
        </w:tc>
        <w:tc>
          <w:tcPr>
            <w:tcW w:w="1872"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Partial support</w:t>
            </w:r>
          </w:p>
        </w:tc>
      </w:tr>
    </w:tbl>
    <w:p>
      <w:pPr>
        <w:pStyle w:val="BodyText"/>
        <w:spacing w:lineRule="auto" w:line="480"/>
        <w:rPr>
          <w:rFonts w:ascii="Liberation Serif" w:hAnsi="Liberation Serif"/>
        </w:rPr>
      </w:pPr>
      <w:r>
        <w:rPr/>
        <w:t>Table 3 summarizes why structural accounts are only partially successful in this run: most moderators are imprecisely estimated, while geology shows selective basin-specific effects. Figure 5 and Figure 6 then provide visual context for these moderator patterns.</w:t>
      </w:r>
    </w:p>
    <w:p>
      <w:pPr>
        <w:pStyle w:val="CaptionedFigure"/>
        <w:spacing w:lineRule="auto" w:line="480"/>
        <w:rPr>
          <w:rFonts w:ascii="Liberation Serif" w:hAnsi="Liberation Serif"/>
        </w:rPr>
      </w:pPr>
      <w:r>
        <w:rPr/>
        <w:drawing>
          <wp:inline distT="0" distB="0" distL="0" distR="0">
            <wp:extent cx="5943600" cy="2962910"/>
            <wp:effectExtent l="0" t="0" r="0" b="0"/>
            <wp:docPr id="5" name="Image5" descr="Figure 5. Moderator interaction estim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Figure 5. Moderator interaction estimates."/>
                    <pic:cNvPicPr>
                      <a:picLocks noChangeAspect="1" noChangeArrowheads="1"/>
                    </pic:cNvPicPr>
                  </pic:nvPicPr>
                  <pic:blipFill>
                    <a:blip r:embed="rId6"/>
                    <a:stretch>
                      <a:fillRect/>
                    </a:stretch>
                  </pic:blipFill>
                  <pic:spPr bwMode="auto">
                    <a:xfrm>
                      <a:off x="0" y="0"/>
                      <a:ext cx="5943600" cy="2962910"/>
                    </a:xfrm>
                    <a:prstGeom prst="rect">
                      <a:avLst/>
                    </a:prstGeom>
                    <a:noFill/>
                  </pic:spPr>
                </pic:pic>
              </a:graphicData>
            </a:graphic>
          </wp:inline>
        </w:drawing>
      </w:r>
    </w:p>
    <w:p>
      <w:pPr>
        <w:pStyle w:val="ImageCaption"/>
        <w:spacing w:lineRule="auto" w:line="480"/>
        <w:rPr>
          <w:rFonts w:ascii="Liberation Serif" w:hAnsi="Liberation Serif"/>
        </w:rPr>
      </w:pPr>
      <w:r>
        <w:rPr>
          <w:rFonts w:ascii="Liberation Serif" w:hAnsi="Liberation Serif"/>
        </w:rPr>
        <w:t>Figure 5. Moderator interaction estimates.</w:t>
      </w:r>
    </w:p>
    <w:p>
      <w:pPr>
        <w:pStyle w:val="CaptionedFigure"/>
        <w:spacing w:lineRule="auto" w:line="480"/>
        <w:rPr>
          <w:rFonts w:ascii="Liberation Serif" w:hAnsi="Liberation Serif"/>
        </w:rPr>
      </w:pPr>
      <w:r>
        <w:rPr/>
        <w:drawing>
          <wp:inline distT="0" distB="0" distL="0" distR="0">
            <wp:extent cx="5943600" cy="4443730"/>
            <wp:effectExtent l="0" t="0" r="0" b="0"/>
            <wp:docPr id="6" name="Image6" descr="Figure 6. Demographic/geographic correlates of district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Figure 6. Demographic/geographic correlates of district effects."/>
                    <pic:cNvPicPr>
                      <a:picLocks noChangeAspect="1" noChangeArrowheads="1"/>
                    </pic:cNvPicPr>
                  </pic:nvPicPr>
                  <pic:blipFill>
                    <a:blip r:embed="rId7"/>
                    <a:stretch>
                      <a:fillRect/>
                    </a:stretch>
                  </pic:blipFill>
                  <pic:spPr bwMode="auto">
                    <a:xfrm>
                      <a:off x="0" y="0"/>
                      <a:ext cx="5943600" cy="4443730"/>
                    </a:xfrm>
                    <a:prstGeom prst="rect">
                      <a:avLst/>
                    </a:prstGeom>
                    <a:noFill/>
                  </pic:spPr>
                </pic:pic>
              </a:graphicData>
            </a:graphic>
          </wp:inline>
        </w:drawing>
      </w:r>
    </w:p>
    <w:p>
      <w:pPr>
        <w:pStyle w:val="ImageCaption"/>
        <w:spacing w:lineRule="auto" w:line="480"/>
        <w:rPr>
          <w:rFonts w:ascii="Liberation Serif" w:hAnsi="Liberation Serif"/>
        </w:rPr>
      </w:pPr>
      <w:bookmarkStart w:id="14" w:name="h3-structural-moderators"/>
      <w:r>
        <w:rPr>
          <w:rFonts w:ascii="Liberation Serif" w:hAnsi="Liberation Serif"/>
        </w:rPr>
        <w:t>Figure 6. Demographic/geographic correlates of district effects.</w:t>
      </w:r>
      <w:bookmarkEnd w:id="14"/>
    </w:p>
    <w:p>
      <w:pPr>
        <w:pStyle w:val="Heading3"/>
        <w:spacing w:lineRule="auto" w:line="480"/>
        <w:rPr>
          <w:rFonts w:ascii="Liberation Serif" w:hAnsi="Liberation Serif"/>
        </w:rPr>
      </w:pPr>
      <w:bookmarkStart w:id="15" w:name="h4-spatial-dynamics"/>
      <w:r>
        <w:rPr>
          <w:rFonts w:ascii="Liberation Serif" w:hAnsi="Liberation Serif"/>
        </w:rPr>
        <w:t>H4: Spatial dynamics</w:t>
      </w:r>
    </w:p>
    <w:p>
      <w:pPr>
        <w:pStyle w:val="FirstParagraph"/>
        <w:spacing w:lineRule="auto" w:line="480"/>
        <w:rPr>
          <w:rFonts w:ascii="Liberation Serif" w:hAnsi="Liberation Serif"/>
        </w:rPr>
      </w:pPr>
      <w:bookmarkStart w:id="16" w:name="results"/>
      <w:bookmarkStart w:id="17" w:name="h4-spatial-dynamics"/>
      <w:r>
        <w:rPr/>
        <w:t>The results of a Moran’s I test indicated a lack of significant spatial autocorrelation among district effects (permutation p = 0.855). This provides no evidence of statistically significant global spatial autocorrelation. Figure 4 provides the relevant geographic context for district-level effect dispersion.</w:t>
      </w:r>
      <w:bookmarkEnd w:id="16"/>
      <w:bookmarkEnd w:id="17"/>
    </w:p>
    <w:p>
      <w:pPr>
        <w:pStyle w:val="Heading2"/>
        <w:spacing w:lineRule="auto" w:line="480"/>
        <w:rPr>
          <w:rFonts w:ascii="Liberation Serif" w:hAnsi="Liberation Serif"/>
        </w:rPr>
      </w:pPr>
      <w:bookmarkStart w:id="18" w:name="robustness"/>
      <w:bookmarkEnd w:id="18"/>
      <w:r>
        <w:rPr>
          <w:rFonts w:ascii="Liberation Serif" w:hAnsi="Liberation Serif"/>
        </w:rPr>
        <w:t>Robustness</w:t>
      </w:r>
    </w:p>
    <w:p>
      <w:pPr>
        <w:pStyle w:val="Heading3"/>
        <w:spacing w:lineRule="auto" w:line="480"/>
        <w:rPr>
          <w:rFonts w:ascii="Liberation Serif" w:hAnsi="Liberation Serif"/>
        </w:rPr>
      </w:pPr>
      <w:r>
        <w:rPr>
          <w:rFonts w:ascii="Liberation Serif" w:hAnsi="Liberation Serif"/>
        </w:rPr>
        <w:t>Placebo policy years (all-district interrupted model)</w:t>
      </w:r>
    </w:p>
    <w:p>
      <w:pPr>
        <w:pStyle w:val="Compact"/>
        <w:numPr>
          <w:ilvl w:val="0"/>
          <w:numId w:val="1"/>
        </w:numPr>
        <w:spacing w:lineRule="auto" w:line="480"/>
        <w:rPr>
          <w:rFonts w:ascii="Liberation Serif" w:hAnsi="Liberation Serif"/>
        </w:rPr>
      </w:pPr>
      <w:r>
        <w:rPr/>
        <w:t>2017 placebo: coef 0.6565, p=0.0020.</w:t>
      </w:r>
    </w:p>
    <w:p>
      <w:pPr>
        <w:pStyle w:val="Compact"/>
        <w:numPr>
          <w:ilvl w:val="0"/>
          <w:numId w:val="1"/>
        </w:numPr>
        <w:spacing w:lineRule="auto" w:line="480"/>
        <w:rPr>
          <w:rFonts w:ascii="Liberation Serif" w:hAnsi="Liberation Serif"/>
        </w:rPr>
      </w:pPr>
      <w:bookmarkStart w:id="19" w:name="X2b1bbebaae277b87a79157fb33ba94fed58481f"/>
      <w:r>
        <w:rPr/>
        <w:t>2021 placebo: coef -0.0245, p=0.9191.</w:t>
      </w:r>
      <w:bookmarkEnd w:id="19"/>
    </w:p>
    <w:p>
      <w:pPr>
        <w:pStyle w:val="Heading3"/>
        <w:spacing w:lineRule="auto" w:line="480"/>
        <w:rPr>
          <w:rFonts w:ascii="Liberation Serif" w:hAnsi="Liberation Serif"/>
        </w:rPr>
      </w:pPr>
      <w:r>
        <w:rPr>
          <w:rFonts w:ascii="Liberation Serif" w:hAnsi="Liberation Serif"/>
        </w:rPr>
        <w:t>Alternative outcomes (all-district interrupted model)</w:t>
      </w:r>
    </w:p>
    <w:p>
      <w:pPr>
        <w:pStyle w:val="Compact"/>
        <w:numPr>
          <w:ilvl w:val="0"/>
          <w:numId w:val="1"/>
        </w:numPr>
        <w:spacing w:lineRule="auto" w:line="480"/>
        <w:rPr>
          <w:rFonts w:ascii="Liberation Serif" w:hAnsi="Liberation Serif"/>
        </w:rPr>
      </w:pPr>
      <w:r>
        <w:rPr/>
        <w:t>Resolution rate: post 4.3721 (p=0.2104), post-trend -2.9371 (p=0.1424).</w:t>
      </w:r>
    </w:p>
    <w:p>
      <w:pPr>
        <w:pStyle w:val="Compact"/>
        <w:numPr>
          <w:ilvl w:val="0"/>
          <w:numId w:val="1"/>
        </w:numPr>
        <w:spacing w:lineRule="auto" w:line="480"/>
        <w:rPr>
          <w:rFonts w:ascii="Liberation Serif" w:hAnsi="Liberation Serif"/>
        </w:rPr>
      </w:pPr>
      <w:r>
        <w:rPr/>
        <w:t>Compliance rate: post -0.1311 (p=0.9316), post-trend -0.5562 (p=0.1870).</w:t>
      </w:r>
    </w:p>
    <w:p>
      <w:pPr>
        <w:pStyle w:val="Compact"/>
        <w:numPr>
          <w:ilvl w:val="0"/>
          <w:numId w:val="1"/>
        </w:numPr>
        <w:spacing w:lineRule="auto" w:line="480"/>
        <w:rPr>
          <w:rFonts w:ascii="Liberation Serif" w:hAnsi="Liberation Serif"/>
        </w:rPr>
      </w:pPr>
      <w:bookmarkStart w:id="20" w:name="X6687c77014918575d93aff2c3476bd851e46400"/>
      <w:r>
        <w:rPr/>
        <w:t>Violations/inspection: post -0.0082 (p=0.6690), post-trend 0.0106 (p=0.0600).</w:t>
      </w:r>
      <w:bookmarkEnd w:id="20"/>
    </w:p>
    <w:p>
      <w:pPr>
        <w:pStyle w:val="Heading3"/>
        <w:spacing w:lineRule="auto" w:line="480"/>
        <w:rPr>
          <w:rFonts w:ascii="Liberation Serif" w:hAnsi="Liberation Serif"/>
        </w:rPr>
      </w:pPr>
      <w:r>
        <w:rPr>
          <w:rFonts w:ascii="Liberation Serif" w:hAnsi="Liberation Serif"/>
        </w:rPr>
        <w:t>Sample restrictions</w:t>
      </w:r>
    </w:p>
    <w:p>
      <w:pPr>
        <w:pStyle w:val="Compact"/>
        <w:numPr>
          <w:ilvl w:val="0"/>
          <w:numId w:val="1"/>
        </w:numPr>
        <w:spacing w:lineRule="auto" w:line="480"/>
        <w:rPr>
          <w:rFonts w:ascii="Liberation Serif" w:hAnsi="Liberation Serif"/>
        </w:rPr>
      </w:pPr>
      <w:r>
        <w:rPr/>
        <w:t>Full sample: post 0.1514 (p=0.3294), post-trend -0.3603 (p=0.0010).</w:t>
      </w:r>
    </w:p>
    <w:p>
      <w:pPr>
        <w:pStyle w:val="Compact"/>
        <w:numPr>
          <w:ilvl w:val="0"/>
          <w:numId w:val="1"/>
        </w:numPr>
        <w:spacing w:lineRule="auto" w:line="480"/>
        <w:rPr>
          <w:rFonts w:ascii="Liberation Serif" w:hAnsi="Liberation Serif"/>
        </w:rPr>
      </w:pPr>
      <w:r>
        <w:rPr/>
        <w:t>Excluding extreme districts: post-trend remains negative/significant.</w:t>
      </w:r>
    </w:p>
    <w:p>
      <w:pPr>
        <w:pStyle w:val="Compact"/>
        <w:numPr>
          <w:ilvl w:val="0"/>
          <w:numId w:val="1"/>
        </w:numPr>
        <w:spacing w:lineRule="auto" w:line="480"/>
        <w:rPr>
          <w:rFonts w:ascii="Liberation Serif" w:hAnsi="Liberation Serif"/>
        </w:rPr>
      </w:pPr>
      <w:r>
        <w:rPr/>
        <w:t>Excluding 2015-2016: post-trend remains negative (weaker significance).</w:t>
      </w:r>
    </w:p>
    <w:p>
      <w:pPr>
        <w:pStyle w:val="Compact"/>
        <w:numPr>
          <w:ilvl w:val="0"/>
          <w:numId w:val="1"/>
        </w:numPr>
        <w:spacing w:lineRule="auto" w:line="480"/>
        <w:rPr>
          <w:rFonts w:ascii="Liberation Serif" w:hAnsi="Liberation Serif"/>
        </w:rPr>
      </w:pPr>
      <w:bookmarkStart w:id="21" w:name="sample-restrictions"/>
      <w:r>
        <w:rPr/>
        <w:t>Excluding 2020-2021: post-trend remains negative/significant.</w:t>
      </w:r>
      <w:bookmarkEnd w:id="21"/>
    </w:p>
    <w:p>
      <w:pPr>
        <w:pStyle w:val="Heading3"/>
        <w:spacing w:lineRule="auto" w:line="480"/>
        <w:rPr>
          <w:rFonts w:ascii="Liberation Serif" w:hAnsi="Liberation Serif"/>
        </w:rPr>
      </w:pPr>
      <w:bookmarkStart w:id="22" w:name="specification-sensitivity"/>
      <w:bookmarkEnd w:id="22"/>
      <w:r>
        <w:rPr>
          <w:rFonts w:ascii="Liberation Serif" w:hAnsi="Liberation Serif"/>
        </w:rPr>
        <w:t>Specification sensitivity</w:t>
      </w:r>
    </w:p>
    <w:p>
      <w:pPr>
        <w:pStyle w:val="Compact"/>
        <w:numPr>
          <w:ilvl w:val="0"/>
          <w:numId w:val="1"/>
        </w:numPr>
        <w:spacing w:lineRule="auto" w:line="480"/>
        <w:rPr>
          <w:rFonts w:ascii="Liberation Serif" w:hAnsi="Liberation Serif"/>
        </w:rPr>
      </w:pPr>
      <w:r>
        <w:rPr/>
        <w:t>Linear interrupted model: post-trend -67.0420 days (p=0.0100).</w:t>
      </w:r>
    </w:p>
    <w:p>
      <w:pPr>
        <w:pStyle w:val="Compact"/>
        <w:numPr>
          <w:ilvl w:val="0"/>
          <w:numId w:val="1"/>
        </w:numPr>
        <w:spacing w:lineRule="auto" w:line="480"/>
        <w:rPr>
          <w:rFonts w:ascii="Liberation Serif" w:hAnsi="Liberation Serif"/>
        </w:rPr>
      </w:pPr>
      <w:r>
        <w:rPr/>
        <w:t>Winsorized interrupted model: post-trend -0.3147 (p=0.0016).</w:t>
      </w:r>
    </w:p>
    <w:p>
      <w:pPr>
        <w:pStyle w:val="FirstParagraph"/>
        <w:spacing w:lineRule="auto" w:line="480"/>
        <w:rPr>
          <w:rFonts w:ascii="Liberation Serif" w:hAnsi="Liberation Serif"/>
        </w:rPr>
      </w:pPr>
      <w:r>
        <w:rPr/>
        <w:t>Across variants, the post-policy slope result is more stable than the immediate level effect.</w:t>
      </w:r>
    </w:p>
    <w:p>
      <w:pPr>
        <w:pStyle w:val="BodyText"/>
        <w:spacing w:lineRule="auto" w:line="480"/>
        <w:rPr>
          <w:rFonts w:ascii="Liberation Serif" w:hAnsi="Liberation Serif"/>
        </w:rPr>
      </w:pPr>
      <w:r>
        <w:rPr>
          <w:b/>
          <w:bCs/>
        </w:rPr>
        <w:t>Table 4. Robustness summary (interrupted panel framework)</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2339"/>
        <w:gridCol w:w="2340"/>
        <w:gridCol w:w="2340"/>
        <w:gridCol w:w="2341"/>
      </w:tblGrid>
      <w:tr>
        <w:trPr>
          <w:tblHeader w:val="true"/>
        </w:trPr>
        <w:tc>
          <w:tcPr>
            <w:tcW w:w="2339" w:type="dxa"/>
            <w:tcBorders>
              <w:bottom w:val="single" w:sz="6" w:space="0" w:color="000000"/>
            </w:tcBorders>
            <w:vAlign w:val="bottom"/>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Check</w:t>
            </w:r>
          </w:p>
        </w:tc>
        <w:tc>
          <w:tcPr>
            <w:tcW w:w="2340" w:type="dxa"/>
            <w:tcBorders>
              <w:bottom w:val="single" w:sz="6" w:space="0" w:color="000000"/>
            </w:tcBorders>
            <w:vAlign w:val="bottom"/>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Immediate post-policy level effect (p)</w:t>
            </w:r>
          </w:p>
        </w:tc>
        <w:tc>
          <w:tcPr>
            <w:tcW w:w="2340" w:type="dxa"/>
            <w:tcBorders>
              <w:bottom w:val="single" w:sz="6" w:space="0" w:color="000000"/>
            </w:tcBorders>
            <w:vAlign w:val="bottom"/>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Post-policy trend effect (p)</w:t>
            </w:r>
          </w:p>
        </w:tc>
        <w:tc>
          <w:tcPr>
            <w:tcW w:w="2341" w:type="dxa"/>
            <w:tcBorders>
              <w:bottom w:val="single" w:sz="6" w:space="0" w:color="000000"/>
            </w:tcBorders>
            <w:vAlign w:val="bottom"/>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Read</w:t>
            </w:r>
          </w:p>
        </w:tc>
      </w:tr>
      <w:tr>
        <w:trPr/>
        <w:tc>
          <w:tcPr>
            <w:tcW w:w="2339"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Full sample</w:t>
            </w:r>
          </w:p>
        </w:tc>
        <w:tc>
          <w:tcPr>
            <w:tcW w:w="23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0.1514 (0.3294)</w:t>
            </w:r>
          </w:p>
        </w:tc>
        <w:tc>
          <w:tcPr>
            <w:tcW w:w="23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-0.3603 (0.0010)</w:t>
            </w:r>
          </w:p>
        </w:tc>
        <w:tc>
          <w:tcPr>
            <w:tcW w:w="2341"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Slope effect robust; level break weak</w:t>
            </w:r>
          </w:p>
        </w:tc>
      </w:tr>
      <w:tr>
        <w:trPr/>
        <w:tc>
          <w:tcPr>
            <w:tcW w:w="2339"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Exclude extreme districts</w:t>
            </w:r>
          </w:p>
        </w:tc>
        <w:tc>
          <w:tcPr>
            <w:tcW w:w="23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0.1917 (0.1930)</w:t>
            </w:r>
          </w:p>
        </w:tc>
        <w:tc>
          <w:tcPr>
            <w:tcW w:w="23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-0.2972 (0.0133)</w:t>
            </w:r>
          </w:p>
        </w:tc>
        <w:tc>
          <w:tcPr>
            <w:tcW w:w="2341"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Slope remains significant</w:t>
            </w:r>
          </w:p>
        </w:tc>
      </w:tr>
      <w:tr>
        <w:trPr/>
        <w:tc>
          <w:tcPr>
            <w:tcW w:w="2339"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Exclude 2015-2016</w:t>
            </w:r>
          </w:p>
        </w:tc>
        <w:tc>
          <w:tcPr>
            <w:tcW w:w="23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0.1942 (0.1958)</w:t>
            </w:r>
          </w:p>
        </w:tc>
        <w:tc>
          <w:tcPr>
            <w:tcW w:w="23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-0.2313 (0.0950)</w:t>
            </w:r>
          </w:p>
        </w:tc>
        <w:tc>
          <w:tcPr>
            <w:tcW w:w="2341"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Slope negative, marginal</w:t>
            </w:r>
          </w:p>
        </w:tc>
      </w:tr>
      <w:tr>
        <w:trPr/>
        <w:tc>
          <w:tcPr>
            <w:tcW w:w="2339"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Exclude 2020-2021</w:t>
            </w:r>
          </w:p>
        </w:tc>
        <w:tc>
          <w:tcPr>
            <w:tcW w:w="23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0.1516 (0.2959)</w:t>
            </w:r>
          </w:p>
        </w:tc>
        <w:tc>
          <w:tcPr>
            <w:tcW w:w="23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-0.3599 (0.0016)</w:t>
            </w:r>
          </w:p>
        </w:tc>
        <w:tc>
          <w:tcPr>
            <w:tcW w:w="2341"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Slope remains significant</w:t>
            </w:r>
          </w:p>
        </w:tc>
      </w:tr>
      <w:tr>
        <w:trPr/>
        <w:tc>
          <w:tcPr>
            <w:tcW w:w="2339"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Linear interrupted</w:t>
            </w:r>
          </w:p>
        </w:tc>
        <w:tc>
          <w:tcPr>
            <w:tcW w:w="23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-41.9298 (0.3104)</w:t>
            </w:r>
          </w:p>
        </w:tc>
        <w:tc>
          <w:tcPr>
            <w:tcW w:w="23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-67.0420 (0.0100)</w:t>
            </w:r>
          </w:p>
        </w:tc>
        <w:tc>
          <w:tcPr>
            <w:tcW w:w="2341"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Same directional pattern</w:t>
            </w:r>
          </w:p>
        </w:tc>
      </w:tr>
      <w:tr>
        <w:trPr/>
        <w:tc>
          <w:tcPr>
            <w:tcW w:w="2339"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Winsorized interrupted</w:t>
            </w:r>
          </w:p>
        </w:tc>
        <w:tc>
          <w:tcPr>
            <w:tcW w:w="23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0.2137 (0.1021)</w:t>
            </w:r>
          </w:p>
        </w:tc>
        <w:tc>
          <w:tcPr>
            <w:tcW w:w="2340"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-0.3147 (0.0016)</w:t>
            </w:r>
          </w:p>
        </w:tc>
        <w:tc>
          <w:tcPr>
            <w:tcW w:w="2341" w:type="dxa"/>
            <w:tcBorders/>
          </w:tcPr>
          <w:p>
            <w:pPr>
              <w:pStyle w:val="Compact"/>
              <w:widowControl/>
              <w:suppressAutoHyphens w:val="true"/>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Slope remains significant</w:t>
            </w:r>
          </w:p>
        </w:tc>
      </w:tr>
    </w:tbl>
    <w:p>
      <w:pPr>
        <w:pStyle w:val="BodyText"/>
        <w:spacing w:lineRule="auto" w:line="480"/>
        <w:rPr/>
      </w:pPr>
      <w:r>
        <w:rPr/>
      </w:r>
    </w:p>
    <w:p>
      <w:pPr>
        <w:pStyle w:val="BodyText"/>
        <w:spacing w:lineRule="auto" w:line="480"/>
        <w:rPr/>
      </w:pPr>
      <w:r>
        <w:rPr/>
        <w:t>Table 4 consolidates robustness evidence in one place: level-shift estimates are sensitive, but the negative post-policy slope remains comparatively stable across sample restrictions and alternative functional forms. Across the full set of robustness tests, the most consistent result is the negative post-policy trend in enforcement timing, not a one-time level break at policy adoption. Placebo tests show a significant 2017 pseudo-break (</w:t>
      </w:r>
      <w:r>
        <w:rPr/>
      </w:r>
      <m:oMath xmlns:m="http://schemas.openxmlformats.org/officeDocument/2006/math">
        <m:acc>
          <m:accPr>
            <m:chr m:val="^"/>
          </m:accPr>
          <m:e>
            <m:r>
              <w:rPr>
                <w:rFonts w:ascii="Cambria Math" w:hAnsi="Cambria Math"/>
              </w:rPr>
              <m:t xml:space="preserve">β</m:t>
            </m:r>
          </m:e>
        </m:acc>
        <m:r>
          <m:rPr>
            <m:lit/>
            <m:nor/>
          </m:rPr>
          <w:rPr>
            <w:rFonts w:ascii="Cambria Math" w:hAnsi="Cambria Math"/>
          </w:rPr>
          <m:t xml:space="preserve">=</m:t>
        </m:r>
        <m:r>
          <w:rPr>
            <w:rFonts w:ascii="Cambria Math" w:hAnsi="Cambria Math"/>
          </w:rPr>
          <m:t xml:space="preserve">0.6565</m:t>
        </m:r>
      </m:oMath>
      <w:r>
        <w:rPr/>
        <w:t xml:space="preserve">, </w:t>
      </w:r>
      <w:r>
        <w:rPr/>
      </w:r>
      <m:oMath xmlns:m="http://schemas.openxmlformats.org/officeDocument/2006/math">
        <m:r>
          <w:rPr>
            <w:rFonts w:ascii="Cambria Math" w:hAnsi="Cambria Math"/>
          </w:rPr>
          <m:t xml:space="preserve">p</m:t>
        </m:r>
        <m:r>
          <m:rPr>
            <m:lit/>
            <m:nor/>
          </m:rPr>
          <w:rPr>
            <w:rFonts w:ascii="Cambria Math" w:hAnsi="Cambria Math"/>
          </w:rPr>
          <m:t xml:space="preserve">=</m:t>
        </m:r>
        <m:r>
          <w:rPr>
            <w:rFonts w:ascii="Cambria Math" w:hAnsi="Cambria Math"/>
          </w:rPr>
          <m:t xml:space="preserve">0.0020</m:t>
        </m:r>
      </m:oMath>
      <w:r>
        <w:rPr/>
        <w:t>) but a null 2021 pseudo-break (</w:t>
      </w:r>
      <w:r>
        <w:rPr/>
      </w:r>
      <m:oMath xmlns:m="http://schemas.openxmlformats.org/officeDocument/2006/math">
        <m:acc>
          <m:accPr>
            <m:chr m:val="^"/>
          </m:accPr>
          <m:e>
            <m:r>
              <w:rPr>
                <w:rFonts w:ascii="Cambria Math" w:hAnsi="Cambria Math"/>
              </w:rPr>
              <m:t xml:space="preserve">β</m:t>
            </m:r>
          </m:e>
        </m:acc>
        <m:r>
          <m:rPr>
            <m:lit/>
            <m:nor/>
          </m:rPr>
          <w:rPr>
            <w:rFonts w:ascii="Cambria Math" w:hAnsi="Cambria Math"/>
          </w:rPr>
          <m:t xml:space="preserve">=</m:t>
        </m:r>
        <m:r>
          <w:rPr>
            <w:rFonts w:ascii="Cambria Math" w:hAnsi="Cambria Math"/>
          </w:rPr>
          <m:t xml:space="preserve">−</m:t>
        </m:r>
        <m:r>
          <w:rPr>
            <w:rFonts w:ascii="Cambria Math" w:hAnsi="Cambria Math"/>
          </w:rPr>
          <m:t xml:space="preserve">0.0245</m:t>
        </m:r>
      </m:oMath>
      <w:r>
        <w:rPr/>
        <w:t xml:space="preserve">, </w:t>
      </w:r>
      <w:r>
        <w:rPr/>
      </w:r>
      <m:oMath xmlns:m="http://schemas.openxmlformats.org/officeDocument/2006/math">
        <m:r>
          <w:rPr>
            <w:rFonts w:ascii="Cambria Math" w:hAnsi="Cambria Math"/>
          </w:rPr>
          <m:t xml:space="preserve">p</m:t>
        </m:r>
        <m:r>
          <m:rPr>
            <m:lit/>
            <m:nor/>
          </m:rPr>
          <w:rPr>
            <w:rFonts w:ascii="Cambria Math" w:hAnsi="Cambria Math"/>
          </w:rPr>
          <m:t xml:space="preserve">=</m:t>
        </m:r>
        <m:r>
          <w:rPr>
            <w:rFonts w:ascii="Cambria Math" w:hAnsi="Cambria Math"/>
          </w:rPr>
          <m:t xml:space="preserve">0.9191</m:t>
        </m:r>
      </m:oMath>
      <w:r>
        <w:rPr/>
        <w:t>), indicating that single-year level-shift estimates can absorb unrelated temporal structure. Alternative-outcome models similarly show limited generalization of effects beyond timing: resolution-rate and compliance-rate level/trend terms are not statistically significant, while violations per inspection shows only a marginal post-trend signal.</w:t>
      </w:r>
    </w:p>
    <w:p>
      <w:pPr>
        <w:pStyle w:val="BodyText"/>
        <w:spacing w:lineRule="auto" w:line="480"/>
        <w:rPr>
          <w:rFonts w:ascii="Liberation Serif" w:hAnsi="Liberation Serif"/>
        </w:rPr>
      </w:pPr>
      <w:bookmarkStart w:id="23" w:name="specification-sensitivity_Copy_1"/>
      <w:bookmarkStart w:id="24" w:name="robustness_Copy_1"/>
      <w:bookmarkEnd w:id="23"/>
      <w:bookmarkEnd w:id="24"/>
      <w:r>
        <w:rPr/>
        <w:tab/>
        <w:t>Sample-restriction and specification-sensitivity checks reinforce this interpretation. In the interrupted-panel framework table, the post-policy trend term remains negative across all restrictions (full sample, excluding extreme districts, excluding early years, excluding 2020-2021) and is generally significant or marginal, whereas the immediate post-policy level term remains weak and unstable. Alternative functional forms (linear and winsor-adjusted interrupted models) replicate the same hierarchy. The slope effects are directionally stable and comparatively robust, while level effects are sensitive. Taken together, these checks support a cautious but coherent conclusion: the policy’s strongest empirical signature is gradual acceleration in enforcement timing rather than a uniform, immediate break or broad cross-outcome improvement.</w:t>
      </w:r>
    </w:p>
    <w:p>
      <w:pPr>
        <w:pStyle w:val="Heading2"/>
        <w:spacing w:lineRule="auto" w:line="480"/>
        <w:rPr>
          <w:rFonts w:ascii="Liberation Serif" w:hAnsi="Liberation Serif"/>
        </w:rPr>
      </w:pPr>
      <w:bookmarkStart w:id="25" w:name="discussion"/>
      <w:r>
        <w:rPr>
          <w:rFonts w:ascii="Liberation Serif" w:hAnsi="Liberation Serif"/>
        </w:rPr>
        <w:t>Discussion</w:t>
      </w:r>
    </w:p>
    <w:p>
      <w:pPr>
        <w:pStyle w:val="FirstParagraph"/>
        <w:spacing w:lineRule="auto" w:line="480"/>
        <w:rPr>
          <w:rFonts w:ascii="Liberation Serif" w:hAnsi="Liberation Serif"/>
        </w:rPr>
      </w:pPr>
      <w:r>
        <w:rPr/>
        <w:t>The transparency reform is associated with a gradual statewide acceleration in enforcement timing rather than a single immediate break at implementation. District responses still diverge notably in estimated magnitudes and signs, and offshore jurisdiction explains a meaningful share of that variation once district-specific post effects are included, while most other structural moderators are weak or inconsistent in this run. Spatial diffusion across neighboring districts is not supported by global autocorrelation tests. These findings suggest that transparency reforms in decentralized regulatory systems should be evaluated as dynamic, district-conditioned processes, not monolithic statewide shocks.</w:t>
      </w:r>
    </w:p>
    <w:p>
      <w:pPr>
        <w:pStyle w:val="Heading3"/>
        <w:spacing w:lineRule="auto" w:line="480"/>
        <w:rPr>
          <w:rFonts w:ascii="Liberation Serif" w:hAnsi="Liberation Serif"/>
        </w:rPr>
      </w:pPr>
      <w:r>
        <w:rPr>
          <w:rFonts w:ascii="Liberation Serif" w:hAnsi="Liberation Serif"/>
        </w:rPr>
      </w:r>
      <w:r>
        <w:br w:type="page"/>
      </w:r>
    </w:p>
    <w:p>
      <w:pPr>
        <w:pStyle w:val="Heading3"/>
        <w:spacing w:lineRule="auto" w:line="480" w:before="0" w:after="80"/>
        <w:rPr>
          <w:rFonts w:ascii="Liberation Serif" w:hAnsi="Liberation Serif"/>
        </w:rPr>
      </w:pPr>
      <w:bookmarkStart w:id="26" w:name="references"/>
      <w:r>
        <w:rPr>
          <w:rFonts w:ascii="Liberation Serif" w:hAnsi="Liberation Serif"/>
        </w:rPr>
        <w:t>References</w:t>
      </w:r>
    </w:p>
    <w:p>
      <w:pPr>
        <w:pStyle w:val="FirstParagraph"/>
        <w:spacing w:lineRule="auto" w:line="480"/>
        <w:ind w:hanging="720" w:left="720"/>
        <w:rPr>
          <w:rFonts w:ascii="Liberation Serif" w:hAnsi="Liberation Serif"/>
        </w:rPr>
      </w:pPr>
      <w:r>
        <w:rPr/>
        <w:t xml:space="preserve">Anselin, L. (1995). Local Indicators of Spatial Association—LISA. </w:t>
      </w:r>
      <w:r>
        <w:rPr>
          <w:i/>
          <w:iCs/>
        </w:rPr>
        <w:t>Geographical Analysis</w:t>
      </w:r>
      <w:r>
        <w:rPr/>
        <w:t>, 27(2), 93-115.</w:t>
      </w:r>
    </w:p>
    <w:p>
      <w:pPr>
        <w:pStyle w:val="BodyText"/>
        <w:spacing w:lineRule="auto" w:line="480"/>
        <w:ind w:hanging="720" w:left="720"/>
        <w:rPr>
          <w:rFonts w:ascii="Liberation Serif" w:hAnsi="Liberation Serif"/>
        </w:rPr>
      </w:pPr>
      <w:r>
        <w:rPr/>
        <w:t xml:space="preserve">Biglan, A., Ary, D., &amp; Wagenaar, A. C. (2000). The Value of Interrupted Time-Series Experiments for Community Intervention Research. </w:t>
      </w:r>
      <w:r>
        <w:rPr>
          <w:i/>
          <w:iCs/>
        </w:rPr>
        <w:t>Prevention Science</w:t>
      </w:r>
      <w:r>
        <w:rPr/>
        <w:t>, 1(1), 31-49.</w:t>
      </w:r>
    </w:p>
    <w:p>
      <w:pPr>
        <w:pStyle w:val="BodyText"/>
        <w:spacing w:lineRule="auto" w:line="480"/>
        <w:ind w:hanging="720" w:left="720"/>
        <w:rPr>
          <w:rFonts w:ascii="Liberation Serif" w:hAnsi="Liberation Serif"/>
        </w:rPr>
      </w:pPr>
      <w:r>
        <w:rPr/>
        <w:t xml:space="preserve">Bernal, J. L., Cummins, S., &amp; Gasparrini, A. (2017). Interrupted time series regression for the evaluation of public health interventions: A tutorial. </w:t>
      </w:r>
      <w:r>
        <w:rPr>
          <w:i/>
          <w:iCs/>
        </w:rPr>
        <w:t>International Journal of Epidemiology</w:t>
      </w:r>
      <w:r>
        <w:rPr/>
        <w:t>, 46(1), 348-355.</w:t>
      </w:r>
    </w:p>
    <w:p>
      <w:pPr>
        <w:pStyle w:val="BodyText"/>
        <w:spacing w:lineRule="auto" w:line="480"/>
        <w:ind w:hanging="720" w:left="720"/>
        <w:rPr>
          <w:rFonts w:ascii="Liberation Serif" w:hAnsi="Liberation Serif"/>
        </w:rPr>
      </w:pPr>
      <w:r>
        <w:rPr/>
        <w:t xml:space="preserve">de Chaisemartin, C., &amp; D’Haultfœuille, X. (2020). Two-Way Fixed Effects Estimators with Heterogeneous Treatment Effects. </w:t>
      </w:r>
      <w:r>
        <w:rPr>
          <w:i/>
          <w:iCs/>
        </w:rPr>
        <w:t>American Economic Review</w:t>
      </w:r>
      <w:r>
        <w:rPr/>
        <w:t>, 110(9), 2964-96.</w:t>
      </w:r>
    </w:p>
    <w:p>
      <w:pPr>
        <w:pStyle w:val="BodyText"/>
        <w:spacing w:lineRule="auto" w:line="480"/>
        <w:ind w:hanging="720" w:left="720"/>
        <w:rPr>
          <w:rFonts w:ascii="Liberation Serif" w:hAnsi="Liberation Serif"/>
        </w:rPr>
      </w:pPr>
      <w:r>
        <w:rPr/>
        <w:t xml:space="preserve">Goodman-Bacon, A. (2021). Difference-in-differences with variation in treatment timing. </w:t>
      </w:r>
      <w:r>
        <w:rPr>
          <w:i/>
          <w:iCs/>
        </w:rPr>
        <w:t>Journal of Econometrics</w:t>
      </w:r>
      <w:r>
        <w:rPr/>
        <w:t>, 225(2), 254-277.</w:t>
      </w:r>
    </w:p>
    <w:p>
      <w:pPr>
        <w:pStyle w:val="BodyText"/>
        <w:spacing w:lineRule="auto" w:line="480"/>
        <w:ind w:hanging="720" w:left="720"/>
        <w:rPr>
          <w:rFonts w:ascii="Liberation Serif" w:hAnsi="Liberation Serif"/>
        </w:rPr>
      </w:pPr>
      <w:r>
        <w:rPr/>
        <w:t xml:space="preserve">Linden, A. (2015). Conducting interrupted time-series analysis for single- and multiple-group comparisons. </w:t>
      </w:r>
      <w:r>
        <w:rPr>
          <w:i/>
          <w:iCs/>
        </w:rPr>
        <w:t>The Stata Journal</w:t>
      </w:r>
      <w:r>
        <w:rPr/>
        <w:t>, 15(2), 480-500.</w:t>
      </w:r>
    </w:p>
    <w:p>
      <w:pPr>
        <w:pStyle w:val="BodyText"/>
        <w:spacing w:lineRule="auto" w:line="480"/>
        <w:ind w:hanging="720" w:left="720"/>
        <w:rPr>
          <w:rFonts w:ascii="Liberation Serif" w:hAnsi="Liberation Serif"/>
        </w:rPr>
      </w:pPr>
      <w:r>
        <w:rPr/>
        <w:t xml:space="preserve">Seabold, S., &amp; Perktold, J. (2010). Statsmodels: Econometric and statistical modeling with Python. </w:t>
      </w:r>
      <w:r>
        <w:rPr>
          <w:i/>
          <w:iCs/>
        </w:rPr>
        <w:t>Proceedings of the 9th Python in Science Conference</w:t>
      </w:r>
      <w:r>
        <w:rPr/>
        <w:t>, 57-61.</w:t>
      </w:r>
    </w:p>
    <w:p>
      <w:pPr>
        <w:pStyle w:val="BodyText"/>
        <w:spacing w:lineRule="auto" w:line="480" w:before="180" w:after="180"/>
        <w:ind w:hanging="720" w:left="720"/>
        <w:rPr>
          <w:rFonts w:ascii="Liberation Serif" w:hAnsi="Liberation Serif"/>
        </w:rPr>
      </w:pPr>
      <w:r>
        <w:rPr/>
        <w:t xml:space="preserve">Sun, L., &amp; Abraham, S. (2021). Estimating dynamic treatment effects in event studies with heterogeneous treatment effects. </w:t>
      </w:r>
      <w:r>
        <w:rPr>
          <w:i/>
          <w:iCs/>
        </w:rPr>
        <w:t>Journal of Econometrics</w:t>
      </w:r>
      <w:r>
        <w:rPr/>
        <w:t>, 225(2), 175-199.</w:t>
      </w:r>
      <w:bookmarkEnd w:id="0"/>
      <w:bookmarkEnd w:id="25"/>
      <w:bookmarkEnd w:id="26"/>
    </w:p>
    <w:sectPr>
      <w:footnotePr>
        <w:numFmt w:val="decimal"/>
        <w:numRestart w:val="eachSect"/>
      </w:footnote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Consolas">
    <w:charset w:val="01"/>
    <w:family w:val="roman"/>
    <w:pitch w:val="variable"/>
  </w:font>
  <w:font w:name="Liberation Sans">
    <w:altName w:val="Arial"/>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Liberation Serif" w:hAnsi="Liberation Serif"/>
          <w:sz w:val="20"/>
          <w:szCs w:val="20"/>
        </w:rPr>
      </w:pPr>
      <w:r>
        <w:rPr>
          <w:rStyle w:val="FootnoteCharacters"/>
        </w:rPr>
        <w:footnoteRef/>
      </w:r>
      <w:r>
        <w:rPr>
          <w:rFonts w:ascii="Liberation Serif" w:hAnsi="Liberation Serif"/>
          <w:sz w:val="20"/>
          <w:szCs w:val="20"/>
        </w:rPr>
        <w:t xml:space="preserve"> </w:t>
      </w:r>
      <w:r>
        <w:rPr>
          <w:rFonts w:ascii="Liberation Serif" w:hAnsi="Liberation Serif"/>
          <w:sz w:val="20"/>
          <w:szCs w:val="20"/>
        </w:rPr>
        <w:t>Districts are shaded by the estimated percent change in days to enforcement after 2019 (negative values indicate faster enforcement; positive values indicate slower enforcement), using a diverging scale centered at zero so improvements and slowdowns are visually comparable. Estimates are derived from the district-by-post model on logged enforcement delay and converted to percent changes; labels indicate RRC district codes. Interpret magnitudes alongside the coefficient uncertainty reported in the corresponding model tables.</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revisionView w:insDel="0" w:formatting="0"/>
  <w:defaultTabStop w:val="720"/>
  <w:autoHyphenation w:val="true"/>
  <w:hyphenationZone w:val="0"/>
  <w:footnotePr>
    <w:numFmt w:val="decimal"/>
    <w:numRestart w:val="eachSect"/>
    <w:footnote w:id="0"/>
    <w:footnote w:id="1"/>
  </w:footnotePr>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sz w:val="24"/>
        <w:szCs w:val="24"/>
        <w:lang w:val="en-US" w:eastAsia="zh-CN" w:bidi="ar-SA"/>
      </w:rPr>
    </w:rPrDefault>
    <w:pPrDefault>
      <w:pPr>
        <w:suppressAutoHyphens w:val="true"/>
      </w:pPr>
    </w:pPrDefault>
  </w:docDefaults>
  <w:latentStyles w:defLockedState="0" w:defUIPriority="0" w:defSemiHidden="0" w:defUnhideWhenUsed="0" w:defQFormat="0" w:count="276"/>
  <w:style w:type="paragraph" w:styleId="Normal" w:default="1">
    <w:name w:val="Normal"/>
    <w:qFormat/>
    <w:pPr>
      <w:widowControl/>
      <w:suppressAutoHyphens w:val="true"/>
      <w:bidi w:val="0"/>
      <w:spacing w:before="0" w:after="200"/>
      <w:jc w:val="left"/>
    </w:pPr>
    <w:rPr>
      <w:rFonts w:ascii="Aptos" w:hAnsi="Aptos" w:eastAsia="" w:cs="" w:asciiTheme="minorHAnsi" w:cstheme="minorBidi" w:eastAsiaTheme="minorEastAsia" w:hAnsiTheme="minorHAnsi"/>
      <w:color w:val="auto"/>
      <w:kern w:val="0"/>
      <w:sz w:val="24"/>
      <w:szCs w:val="24"/>
      <w:lang w:val="en-US" w:eastAsia="zh-CN" w:bidi="ar-SA"/>
    </w:rPr>
  </w:style>
  <w:style w:type="paragraph" w:styleId="Heading1">
    <w:name w:val="heading 1"/>
    <w:basedOn w:val="Normal"/>
    <w:next w:val="BodyText"/>
    <w:link w:val="Heading1Char"/>
    <w:uiPriority w:val="9"/>
    <w:qFormat/>
    <w:rsid w:val="00a10fd9"/>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BodyText"/>
    <w:link w:val="Heading2Char"/>
    <w:uiPriority w:val="9"/>
    <w:semiHidden/>
    <w:unhideWhenUsed/>
    <w:qFormat/>
    <w:rsid w:val="00a10fd9"/>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BodyText"/>
    <w:link w:val="Heading3Char"/>
    <w:uiPriority w:val="9"/>
    <w:semiHidden/>
    <w:unhideWhenUsed/>
    <w:qFormat/>
    <w:rsid w:val="00a10fd9"/>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BodyText"/>
    <w:link w:val="Heading4Char"/>
    <w:uiPriority w:val="9"/>
    <w:semiHidden/>
    <w:unhideWhenUsed/>
    <w:qFormat/>
    <w:rsid w:val="00a10fd9"/>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BodyText"/>
    <w:link w:val="Heading5Char"/>
    <w:uiPriority w:val="9"/>
    <w:semiHidden/>
    <w:unhideWhenUsed/>
    <w:qFormat/>
    <w:rsid w:val="00a10fd9"/>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BodyText"/>
    <w:link w:val="Heading6Char"/>
    <w:uiPriority w:val="9"/>
    <w:semiHidden/>
    <w:unhideWhenUsed/>
    <w:qFormat/>
    <w:rsid w:val="00a10fd9"/>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BodyText"/>
    <w:link w:val="Heading7Char"/>
    <w:uiPriority w:val="9"/>
    <w:semiHidden/>
    <w:unhideWhenUsed/>
    <w:qFormat/>
    <w:rsid w:val="00a10fd9"/>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BodyText"/>
    <w:link w:val="Heading8Char"/>
    <w:uiPriority w:val="9"/>
    <w:semiHidden/>
    <w:unhideWhenUsed/>
    <w:qFormat/>
    <w:rsid w:val="00a10fd9"/>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BodyText"/>
    <w:link w:val="Heading9Char"/>
    <w:uiPriority w:val="9"/>
    <w:semiHidden/>
    <w:unhideWhenUsed/>
    <w:qFormat/>
    <w:rsid w:val="00a10fd9"/>
    <w:pPr>
      <w:keepNext w:val="true"/>
      <w:keepLines/>
      <w:spacing w:before="0" w:after="0"/>
      <w:outlineLvl w:val="8"/>
    </w:pPr>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a10fd9"/>
    <w:rPr>
      <w:rFonts w:ascii="Aptos Display" w:hAnsi="Aptos Display" w:eastAsia="" w:cs="" w:asciiTheme="majorHAnsi" w:cstheme="majorBidi" w:eastAsiaTheme="majorEastAsia" w:hAnsiTheme="majorHAnsi"/>
      <w:sz w:val="56"/>
      <w:szCs w:val="56"/>
    </w:rPr>
  </w:style>
  <w:style w:type="character" w:styleId="SubtitleChar" w:customStyle="1">
    <w:name w:val="Subtitle Char"/>
    <w:basedOn w:val="DefaultParagraphFont"/>
    <w:link w:val="Subtitle"/>
    <w:uiPriority w:val="11"/>
    <w:qFormat/>
    <w:rsid w:val="00a10fd9"/>
    <w:rPr>
      <w:rFonts w:eastAsia="" w:cs="" w:cstheme="majorBidi" w:eastAsiaTheme="majorEastAsia"/>
      <w:color w:themeColor="text1" w:themeTint="a6" w:val="595959"/>
      <w:spacing w:val="15"/>
      <w:sz w:val="28"/>
      <w:szCs w:val="28"/>
    </w:rPr>
  </w:style>
  <w:style w:type="character" w:styleId="Heading1Char" w:customStyle="1">
    <w:name w:val="Heading 1 Char"/>
    <w:basedOn w:val="DefaultParagraphFont"/>
    <w:link w:val="Heading1"/>
    <w:uiPriority w:val="9"/>
    <w:qFormat/>
    <w:rsid w:val="00a10fd9"/>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a10fd9"/>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a10fd9"/>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a10fd9"/>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a10fd9"/>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a10fd9"/>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a10fd9"/>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a10fd9"/>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a10fd9"/>
    <w:rPr>
      <w:rFonts w:eastAsia="" w:cs="" w:cstheme="majorBidi" w:eastAsiaTheme="majorEastAsia"/>
      <w:color w:themeColor="text1" w:themeTint="d8" w:val="272727"/>
    </w:rPr>
  </w:style>
  <w:style w:type="character" w:styleId="DefaultParagraphFont" w:default="1">
    <w:name w:val="Default Paragraph Font"/>
    <w:semiHidden/>
    <w:unhideWhenUsed/>
    <w:qFormat/>
    <w:rPr/>
  </w:style>
  <w:style w:type="character" w:styleId="BodyTextChar" w:customStyle="1">
    <w:name w:val="Body Text Char"/>
    <w:basedOn w:val="DefaultParagraphFont"/>
    <w:qFormat/>
    <w:rPr/>
  </w:style>
  <w:style w:type="character" w:styleId="VerbatimChar" w:customStyle="1">
    <w:name w:val="Verbatim Char"/>
    <w:basedOn w:val="BodyTextChar"/>
    <w:qFormat/>
    <w:rPr>
      <w:rFonts w:ascii="Consolas" w:hAnsi="Consolas"/>
      <w:sz w:val="22"/>
    </w:rPr>
  </w:style>
  <w:style w:type="character" w:styleId="SectionNumber" w:customStyle="1">
    <w:name w:val="Section Number"/>
    <w:basedOn w:val="BodyTextChar"/>
    <w:qFormat/>
    <w:rPr/>
  </w:style>
  <w:style w:type="character" w:styleId="FootnoteCharactersuser">
    <w:name w:val="Footnote Characters (user)"/>
    <w:basedOn w:val="BodyTextChar"/>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Hyperlink">
    <w:name w:val="Hyperlink"/>
    <w:basedOn w:val="BodyTextChar"/>
    <w:rPr>
      <w:color w:themeColor="accent1" w:val="4F81BD"/>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b/>
      <w:color w:val="008000"/>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color w:val="008000"/>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character" w:styleId="EndnoteCharactersuser">
    <w:name w:val="Endnote Characters (user)"/>
    <w:qFormat/>
    <w:rPr/>
  </w:style>
  <w:style w:type="character" w:styleId="EndnoteCharacters">
    <w:name w:val="Endnote Characters"/>
    <w:qFormat/>
    <w:rPr>
      <w:vertAlign w:val="superscript"/>
    </w:rPr>
  </w:style>
  <w:style w:type="character" w:styleId="EndnoteReference">
    <w:name w:val="endnote reference"/>
    <w:rPr>
      <w:vertAlign w:val="superscript"/>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qFormat/>
    <w:pPr>
      <w:spacing w:before="180" w:after="180"/>
    </w:pPr>
    <w:rPr>
      <w:rFonts w:ascii="Liberation Serif" w:hAnsi="Liberation Serif"/>
    </w:rPr>
  </w:style>
  <w:style w:type="paragraph" w:styleId="List">
    <w:name w:val="List"/>
    <w:basedOn w:val="BodyText"/>
    <w:pPr/>
    <w:rPr>
      <w:rFonts w:cs="Noto Sans Devanagari"/>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Noto Sans Devanagari"/>
    </w:rPr>
  </w:style>
  <w:style w:type="paragraph" w:styleId="FirstParagraph" w:customStyle="1">
    <w:name w:val="First Paragraph"/>
    <w:basedOn w:val="BodyText"/>
    <w:next w:val="BodyText"/>
    <w:qFormat/>
    <w:pPr/>
    <w:rPr/>
  </w:style>
  <w:style w:type="paragraph" w:styleId="Compact" w:customStyle="1">
    <w:name w:val="Compact"/>
    <w:basedOn w:val="BodyText"/>
    <w:qFormat/>
    <w:pPr>
      <w:spacing w:before="36" w:after="36"/>
    </w:pPr>
    <w:rPr/>
  </w:style>
  <w:style w:type="paragraph" w:styleId="Title">
    <w:name w:val="Title"/>
    <w:basedOn w:val="Normal"/>
    <w:next w:val="BodyText"/>
    <w:link w:val="TitleChar"/>
    <w:uiPriority w:val="10"/>
    <w:qFormat/>
    <w:rsid w:val="00a10fd9"/>
    <w:pPr>
      <w:spacing w:lineRule="auto" w:line="240" w:before="0" w:after="80"/>
      <w:contextualSpacing/>
      <w:jc w:val="center"/>
    </w:pPr>
    <w:rPr>
      <w:rFonts w:ascii="Aptos Display" w:hAnsi="Aptos Display" w:eastAsia="" w:cs="" w:asciiTheme="majorHAnsi" w:cstheme="majorBidi" w:eastAsiaTheme="majorEastAsia" w:hAnsiTheme="majorHAnsi"/>
      <w:sz w:val="56"/>
      <w:szCs w:val="56"/>
    </w:rPr>
  </w:style>
  <w:style w:type="paragraph" w:styleId="Subtitle">
    <w:name w:val="Subtitle"/>
    <w:basedOn w:val="Title"/>
    <w:next w:val="BodyText"/>
    <w:link w:val="SubtitleChar"/>
    <w:uiPriority w:val="11"/>
    <w:qFormat/>
    <w:rsid w:val="00a10fd9"/>
    <w:pPr/>
    <w:rPr>
      <w:rFonts w:eastAsia="" w:cs="" w:cstheme="majorBidi" w:eastAsiaTheme="majorEastAsia"/>
      <w:spacing w:val="15"/>
      <w:sz w:val="28"/>
      <w:szCs w:val="28"/>
    </w:rPr>
  </w:style>
  <w:style w:type="paragraph" w:styleId="Author" w:customStyle="1">
    <w:name w:val="Author"/>
    <w:basedOn w:val="Title"/>
    <w:next w:val="BodyText"/>
    <w:qFormat/>
    <w:pPr>
      <w:keepNext w:val="true"/>
      <w:keepLines/>
    </w:pPr>
    <w:rPr>
      <w:sz w:val="24"/>
      <w:szCs w:val="24"/>
    </w:rPr>
  </w:style>
  <w:style w:type="paragraph" w:styleId="Date">
    <w:name w:val="Date"/>
    <w:basedOn w:val="Title"/>
    <w:next w:val="BodyText"/>
    <w:qFormat/>
    <w:pPr>
      <w:keepNext w:val="true"/>
      <w:keepLines/>
    </w:pPr>
    <w:rPr>
      <w:sz w:val="24"/>
      <w:szCs w:val="24"/>
    </w:rPr>
  </w:style>
  <w:style w:type="paragraph" w:styleId="AbstractTitle" w:customStyle="1">
    <w:name w:val="Abstract Title"/>
    <w:basedOn w:val="Normal"/>
    <w:next w:val="Abstract"/>
    <w:qFormat/>
    <w:pPr>
      <w:keepNext w:val="true"/>
      <w:keepLines/>
      <w:spacing w:before="300" w:after="0"/>
      <w:jc w:val="center"/>
    </w:pPr>
    <w:rPr>
      <w:b/>
      <w:sz w:val="20"/>
      <w:szCs w:val="20"/>
    </w:rPr>
  </w:style>
  <w:style w:type="paragraph" w:styleId="Abstract" w:customStyle="1">
    <w:name w:val="Abstract"/>
    <w:basedOn w:val="Normal"/>
    <w:next w:val="BodyText"/>
    <w:qFormat/>
    <w:pPr>
      <w:keepNext w:val="true"/>
      <w:keepLines/>
      <w:spacing w:before="100" w:after="300"/>
    </w:pPr>
    <w:rPr>
      <w:sz w:val="20"/>
      <w:szCs w:val="20"/>
    </w:rPr>
  </w:style>
  <w:style w:type="paragraph" w:styleId="Bibliography">
    <w:name w:val="Bibliography"/>
    <w:basedOn w:val="Normal"/>
    <w:qFormat/>
    <w:pPr/>
    <w:rPr/>
  </w:style>
  <w:style w:type="paragraph" w:styleId="BlockText">
    <w:name w:val="Block Text"/>
    <w:basedOn w:val="BodyText"/>
    <w:next w:val="BodyText"/>
    <w:uiPriority w:val="9"/>
    <w:unhideWhenUsed/>
    <w:qFormat/>
    <w:pPr>
      <w:spacing w:before="100" w:after="100"/>
      <w:ind w:hanging="0" w:left="480" w:right="480"/>
    </w:pPr>
    <w:rPr/>
  </w:style>
  <w:style w:type="paragraph" w:styleId="FootnoteText">
    <w:name w:val="footnote text"/>
    <w:basedOn w:val="Normal"/>
    <w:uiPriority w:val="9"/>
    <w:unhideWhenUsed/>
    <w:qFormat/>
    <w:pPr/>
    <w:rPr/>
  </w:style>
  <w:style w:type="paragraph" w:styleId="FootnoteBlockText">
    <w:name w:val="Footnote Block Text"/>
    <w:basedOn w:val="FootnoteText"/>
    <w:next w:val="FootnoteText"/>
    <w:uiPriority w:val="9"/>
    <w:unhideWhenUsed/>
    <w:qFormat/>
    <w:pPr>
      <w:spacing w:before="100" w:after="100"/>
      <w:ind w:hanging="0" w:left="480" w:right="480"/>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IndexHeading">
    <w:name w:val="index heading"/>
    <w:basedOn w:val="Heading"/>
    <w:pPr/>
    <w:rPr/>
  </w:style>
  <w:style w:type="paragraph" w:styleId="TOCHeading">
    <w:name w:val="TOC Heading"/>
    <w:basedOn w:val="Heading1"/>
    <w:next w:val="BodyText"/>
    <w:uiPriority w:val="39"/>
    <w:unhideWhenUsed/>
    <w:qFormat/>
    <w:pPr>
      <w:spacing w:lineRule="auto" w:line="259" w:before="240" w:after="80"/>
      <w:outlineLvl w:val="9"/>
    </w:pPr>
    <w:rPr>
      <w:rFonts w:ascii="Aptos Display" w:hAnsi="Aptos Display" w:eastAsia="" w:cs="" w:asciiTheme="majorHAnsi" w:cstheme="majorBidi" w:eastAsiaTheme="majorEastAsia" w:hAnsiTheme="majorHAnsi"/>
      <w:b w:val="false"/>
      <w:bCs w:val="false"/>
      <w:color w:themeColor="accent1" w:themeShade="bf" w:val="365F91"/>
    </w:rPr>
  </w:style>
  <w:style w:type="paragraph" w:styleId="SourceCode" w:customStyle="1">
    <w:name w:val="Source Code"/>
    <w:basedOn w:val="Normal"/>
    <w:link w:val="VerbatimChar"/>
    <w:qFormat/>
    <w:pPr/>
    <w:rPr/>
  </w:style>
  <w:style w:type="paragraph" w:styleId="EndnoteText">
    <w:name w:val="endnote text"/>
    <w:basedOn w:val="Normal"/>
    <w:pPr>
      <w:suppressLineNumbers/>
      <w:ind w:hanging="340" w:left="340"/>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table" w:default="1" w:styleId="Table">
    <w:name w:val="Table"/>
    <w:basedOn w:val="TableNormal"/>
    <w:semiHidden/>
    <w:unhideWhenUsed/>
    <w:qFormat/>
    <w:tblPr>
      <w:tblCellMar>
        <w:top w:w="0" w:type="dxa"/>
        <w:left w:w="108" w:type="dxa"/>
        <w:bottom w:w="0" w:type="dxa"/>
        <w:right w:w="108" w:type="dxa"/>
      </w:tblCellMar>
    </w:tblPr>
    <w:tblStylePr w:type="firstRow">
      <w:tblPr/>
      <w:tcPr>
        <w:tcBorders>
          <w:bottom w:val="single"/>
        </w:tcBorders>
        <w:vAlign w:val="bottom"/>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17</TotalTime>
  <Application>LibreOffice/26.2.0.3$Linux_X86_64 LibreOffice_project/620$Build-3</Application>
  <AppVersion>15.0000</AppVersion>
  <Pages>19</Pages>
  <Words>2503</Words>
  <Characters>16875</Characters>
  <CharactersWithSpaces>19101</CharactersWithSpaces>
  <Paragraphs>249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2026-02-19T04:25:59Z</dcterms:created>
  <dc:creator/>
  <dc:description/>
  <dc:language>en-US</dc:language>
  <cp:lastModifiedBy>David Adams</cp:lastModifiedBy>
  <dcterms:modified xsi:type="dcterms:W3CDTF">2026-02-19T09:35:33Z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