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keepNext w:val="true"/>
        <w:keepLines/>
        <w:spacing w:before="360" w:after="80"/>
        <w:rPr/>
      </w:pPr>
      <w:bookmarkStart w:id="0" w:name="appendix"/>
      <w:r>
        <w:rPr/>
        <w:t>Appendix</w:t>
      </w:r>
    </w:p>
    <w:p>
      <w:pPr>
        <w:pStyle w:val="Heading2"/>
        <w:rPr/>
      </w:pPr>
      <w:r>
        <w:rPr/>
        <w:t>A1. Data Construction and Scope</w:t>
      </w:r>
    </w:p>
    <w:p>
      <w:pPr>
        <w:pStyle w:val="Compact"/>
        <w:numPr>
          <w:ilvl w:val="0"/>
          <w:numId w:val="1"/>
        </w:numPr>
        <w:rPr/>
      </w:pPr>
      <w:r>
        <w:rPr/>
        <w:t>Analysis window: 2015-2025.</w:t>
      </w:r>
    </w:p>
    <w:p>
      <w:pPr>
        <w:pStyle w:val="Compact"/>
        <w:numPr>
          <w:ilvl w:val="0"/>
          <w:numId w:val="1"/>
        </w:numPr>
        <w:rPr/>
      </w:pPr>
      <w:r>
        <w:rPr/>
        <w:t>District-year panel size: 143 rows (13 districts x 11 years).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Primary identifiers: </w:t>
      </w:r>
      <w:r>
        <w:rPr>
          <w:rStyle w:val="VerbatimChar"/>
        </w:rPr>
        <w:t>api_norm</w:t>
      </w:r>
      <w:r>
        <w:rPr/>
        <w:t xml:space="preserve">, </w:t>
      </w:r>
      <w:r>
        <w:rPr>
          <w:rStyle w:val="VerbatimChar"/>
        </w:rPr>
        <w:t>district</w:t>
      </w:r>
      <w:r>
        <w:rPr/>
        <w:t xml:space="preserve">, </w:t>
      </w:r>
      <w:r>
        <w:rPr>
          <w:rStyle w:val="VerbatimChar"/>
        </w:rPr>
        <w:t>year</w:t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/>
        <w:t>Border geometry includes TX-MX plus TX-NM, TX-OK, TX-LA boundary proximity.</w:t>
      </w:r>
    </w:p>
    <w:p>
      <w:pPr>
        <w:pStyle w:val="Heading3"/>
        <w:rPr/>
      </w:pPr>
      <w:r>
        <w:rPr/>
        <w:t>Build validation counts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960"/>
        <w:gridCol w:w="3960"/>
      </w:tblGrid>
      <w:tr>
        <w:trPr>
          <w:tblHeader w:val="true"/>
        </w:trPr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Metric</w:t>
            </w:r>
          </w:p>
        </w:tc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Value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 loaded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1,010,432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Inspections (2015-2025)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1,867,859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 (2015-2025)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191,762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Border-exposed wells (any 50 km border)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169,520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Panel observations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Districts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13</w:t>
            </w:r>
            <w:bookmarkStart w:id="1" w:name="build-validation-counts"/>
            <w:bookmarkEnd w:id="1"/>
          </w:p>
        </w:tc>
      </w:tr>
    </w:tbl>
    <w:p>
      <w:pPr>
        <w:pStyle w:val="Heading3"/>
        <w:rPr/>
      </w:pPr>
      <w:r>
        <w:rPr/>
        <w:t>Border subtype counts (50 km)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960"/>
        <w:gridCol w:w="3960"/>
      </w:tblGrid>
      <w:tr>
        <w:trPr>
          <w:tblHeader w:val="true"/>
        </w:trPr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Border subtype</w:t>
            </w:r>
          </w:p>
        </w:tc>
        <w:tc>
          <w:tcPr>
            <w:tcW w:w="39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40,339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81,567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19,643</w:t>
            </w:r>
          </w:p>
        </w:tc>
      </w:tr>
      <w:tr>
        <w:trPr/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39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29,675</w:t>
            </w:r>
            <w:bookmarkStart w:id="2" w:name="a1.-data-construction-and-scope"/>
            <w:bookmarkEnd w:id="2"/>
          </w:p>
        </w:tc>
      </w:tr>
    </w:tbl>
    <w:p>
      <w:pPr>
        <w:pStyle w:val="Heading2"/>
        <w:rPr/>
      </w:pPr>
      <w:r>
        <w:rPr/>
        <w:t>A2. Supplementary Equations</w:t>
      </w:r>
    </w:p>
    <w:p>
      <w:pPr>
        <w:pStyle w:val="Heading3"/>
        <w:rPr/>
      </w:pPr>
      <w:bookmarkStart w:id="3" w:name="border-type-fe-interaction-model"/>
      <w:r>
        <w:rPr/>
        <w:t>Border-type FE interaction model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α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nary>
            <m:naryPr>
              <m:chr m:val="∑"/>
              <m:supHide m:val="1"/>
            </m:naryPr>
            <m:sub>
              <m:r>
                <w:rPr>
                  <w:rFonts w:ascii="Cambria Math" w:hAnsi="Cambria Math"/>
                </w:rPr>
                <m:t xml:space="preserve">k</m:t>
              </m:r>
            </m:sub>
            <m:sup/>
            <m:e>
              <m:sSub>
                <m:e>
                  <m:r>
                    <w:rPr>
                      <w:rFonts w:ascii="Cambria Math" w:hAnsi="Cambria Math"/>
                    </w:rPr>
                    <m:t xml:space="preserve">λ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k</m:t>
                  </m:r>
                </m:sub>
              </m:sSub>
            </m:e>
          </m:nary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p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k</m:t>
              </m:r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nary>
            <m:naryPr>
              <m:chr m:val="∑"/>
              <m:supHide m:val="1"/>
            </m:naryPr>
            <m:sub>
              <m:r>
                <w:rPr>
                  <w:rFonts w:ascii="Cambria Math" w:hAnsi="Cambria Math"/>
                </w:rPr>
                <m:t xml:space="preserve">k</m:t>
              </m:r>
            </m:sub>
            <m:sup/>
            <m:e>
              <m:sSub>
                <m:e>
                  <m:r>
                    <w:rPr>
                      <w:rFonts w:ascii="Cambria Math" w:hAnsi="Cambria Math"/>
                    </w:rPr>
                    <m:t xml:space="preserve">ϕ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k</m:t>
                  </m:r>
                </m:sub>
              </m:sSub>
            </m:e>
          </m:nary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p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k</m:t>
              </m:r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</w:p>
    <w:p>
      <w:pPr>
        <w:pStyle w:val="FirstParagraph"/>
        <w:rPr/>
      </w:pPr>
      <w:r>
        <w:rPr/>
        <w:t xml:space="preserve">where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k</m:t>
        </m:r>
        <m:r>
          <w:rPr>
            <w:rFonts w:ascii="Cambria Math" w:hAnsi="Cambria Math"/>
          </w:rPr>
          <m:t xml:space="preserve">∈</m:t>
        </m:r>
        <m:r>
          <w:rPr>
            <w:rFonts w:ascii="Cambria Math" w:hAnsi="Cambria Math"/>
          </w:rPr>
          <m:t xml:space="preserve">{</m:t>
        </m:r>
        <m:r>
          <m:rPr>
            <m:lit/>
            <m:nor/>
          </m:rPr>
          <w:rPr>
            <w:rFonts w:ascii="Cambria Math" w:hAnsi="Cambria Math"/>
          </w:rPr>
          <m:t xml:space="preserve">TX-MX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TX-NM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TX-OK</m:t>
        </m:r>
        <m:r>
          <w:rPr>
            <w:rFonts w:ascii="Cambria Math" w:hAnsi="Cambria Math"/>
          </w:rPr>
          <m:t xml:space="preserve">,</m:t>
        </m:r>
        <m:r>
          <m:rPr>
            <m:lit/>
            <m:nor/>
          </m:rPr>
          <w:rPr>
            <w:rFonts w:ascii="Cambria Math" w:hAnsi="Cambria Math"/>
          </w:rPr>
          <m:t xml:space="preserve">TX-LA</m:t>
        </m:r>
        <m:r>
          <w:rPr>
            <w:rFonts w:ascii="Cambria Math" w:hAnsi="Cambria Math"/>
          </w:rPr>
          <m:t xml:space="preserve">}</m:t>
        </m:r>
      </m:oMath>
      <w:r>
        <w:rPr/>
        <w:t>.</w:t>
      </w:r>
      <w:bookmarkEnd w:id="3"/>
    </w:p>
    <w:p>
      <w:pPr>
        <w:pStyle w:val="Heading3"/>
        <w:rPr/>
      </w:pPr>
      <w:bookmarkStart w:id="4" w:name="continuous-exposure-fe-interaction-model"/>
      <w:r>
        <w:rPr/>
        <w:t>Continuous exposure FE interaction model</w:t>
      </w:r>
    </w:p>
    <w:p>
      <w:pPr>
        <w:pStyle w:val="FirstParagraph"/>
        <w:jc w:val="center"/>
        <w:rPr/>
      </w:pPr>
      <w:bookmarkStart w:id="5" w:name="continuous-exposure-fe-interaction-model"/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α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η</m:t>
              </m:r>
            </m:e>
            <m:sub>
              <m:r>
                <w:rPr>
                  <w:rFonts w:ascii="Cambria Math" w:hAnsi="Cambria Math"/>
                </w:rPr>
                <m:t xml:space="preserve">1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η</m:t>
              </m:r>
            </m:e>
            <m:sub>
              <m:r>
                <w:rPr>
                  <w:rFonts w:ascii="Cambria Math" w:hAnsi="Cambria Math"/>
                </w:rPr>
                <m:t xml:space="preserve">2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  <w:bookmarkEnd w:id="5"/>
    </w:p>
    <w:p>
      <w:pPr>
        <w:pStyle w:val="Heading3"/>
        <w:rPr/>
      </w:pPr>
      <w:bookmarkStart w:id="6" w:name="cutoff-specific-exposure"/>
      <w:r>
        <w:rPr/>
        <w:t>Cutoff-specific exposure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Sup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  <m:sup>
              <m:r>
                <w:rPr>
                  <w:rFonts w:ascii="Cambria Math" w:hAnsi="Cambria Math"/>
                </w:rPr>
                <m:t xml:space="preserve">(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)</m:t>
              </m:r>
            </m:sup>
          </m:sSubSup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c</m:t>
          </m:r>
          <m:r>
            <w:rPr>
              <w:rFonts w:ascii="Cambria Math" w:hAnsi="Cambria Math"/>
            </w:rPr>
            <m:t xml:space="preserve">∈</m:t>
          </m:r>
          <m:r>
            <w:rPr>
              <w:rFonts w:ascii="Cambria Math" w:hAnsi="Cambria Math"/>
            </w:rPr>
            <m:t xml:space="preserve">{</m:t>
          </m:r>
          <m:r>
            <w:rPr>
              <w:rFonts w:ascii="Cambria Math" w:hAnsi="Cambria Math"/>
            </w:rPr>
            <m:t xml:space="preserve">25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75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100</m:t>
          </m:r>
          <m:r>
            <w:rPr>
              <w:rFonts w:ascii="Cambria Math" w:hAnsi="Cambria Math"/>
            </w:rPr>
            <m:t xml:space="preserve">}</m:t>
          </m:r>
        </m:oMath>
      </m:oMathPara>
    </w:p>
    <w:p>
      <w:pPr>
        <w:pStyle w:val="FirstParagraph"/>
        <w:rPr/>
      </w:pPr>
      <w:bookmarkStart w:id="7" w:name="cutoff-specific-exposure"/>
      <w:r>
        <w:rPr/>
        <w:t>substituted into the same FE interaction framework.</w:t>
      </w:r>
      <w:bookmarkEnd w:id="7"/>
    </w:p>
    <w:p>
      <w:pPr>
        <w:pStyle w:val="Heading2"/>
        <w:rPr/>
      </w:pPr>
      <w:r>
        <w:rPr/>
        <w:t>A3. Main FE Interaction Table (RQ2)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221"/>
        <w:gridCol w:w="1628"/>
        <w:gridCol w:w="1627"/>
        <w:gridCol w:w="1628"/>
        <w:gridCol w:w="1628"/>
        <w:gridCol w:w="1628"/>
      </w:tblGrid>
      <w:tr>
        <w:trPr>
          <w:tblHeader w:val="true"/>
        </w:trPr>
        <w:tc>
          <w:tcPr>
            <w:tcW w:w="122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Outcome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 x border</w:t>
            </w:r>
          </w:p>
        </w:tc>
        <w:tc>
          <w:tcPr>
            <w:tcW w:w="162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 x border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628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-0.1191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0.0753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-0.0052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0.8181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0.0040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0.8881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-0.0012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0.8350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-74.5893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0.0156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-1.1587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0.9252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221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0.0404</w:t>
            </w:r>
          </w:p>
        </w:tc>
        <w:tc>
          <w:tcPr>
            <w:tcW w:w="1627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0.4520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-0.0186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0.3404</w:t>
            </w:r>
          </w:p>
        </w:tc>
        <w:tc>
          <w:tcPr>
            <w:tcW w:w="1628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  <w:bookmarkStart w:id="8" w:name="a3.-main-fe-interaction-table-rq2"/>
            <w:bookmarkEnd w:id="8"/>
          </w:p>
        </w:tc>
      </w:tr>
    </w:tbl>
    <w:p>
      <w:pPr>
        <w:pStyle w:val="Heading2"/>
        <w:rPr/>
      </w:pPr>
      <w:r>
        <w:rPr/>
        <w:t>A4. Border-Type Timing Interactions (Money Plot Companion)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Coefficient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post_2019:has_tx_mex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4.0900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0.9062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post_2019:has_tx_nm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-18.7442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0.6013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post_2019:has_tx_ok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-14.2446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0.8134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post_2019:has_tx_la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-43.6598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0.6415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post_trend:has_tx_mex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-0.0148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0.9991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post_trend:has_tx_nm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22.9067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0.0189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post_trend:has_tx_ok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-16.7188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0.0794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post_trend:has_tx_la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0.6415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0.9551</w:t>
            </w:r>
          </w:p>
        </w:tc>
      </w:tr>
    </w:tbl>
    <w:p>
      <w:pPr>
        <w:pStyle w:val="Heading2"/>
        <w:rPr/>
      </w:pPr>
      <w:r>
        <w:rPr/>
        <w:t>A5. Continuous Exposure Results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337"/>
        <w:gridCol w:w="1337"/>
        <w:gridCol w:w="1337"/>
        <w:gridCol w:w="1782"/>
        <w:gridCol w:w="1783"/>
        <w:gridCol w:w="1784"/>
      </w:tblGrid>
      <w:tr>
        <w:trPr>
          <w:tblHeader w:val="true"/>
        </w:trPr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Family</w:t>
            </w:r>
          </w:p>
        </w:tc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Outcome</w:t>
            </w:r>
          </w:p>
        </w:tc>
        <w:tc>
          <w:tcPr>
            <w:tcW w:w="1337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1782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</w:t>
            </w:r>
          </w:p>
        </w:tc>
        <w:tc>
          <w:tcPr>
            <w:tcW w:w="1783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7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0.2095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0.4757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103.4683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0.5710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-0.1585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0.0144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RQ1 levels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-0.0420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0.8619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-109.4067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0.4449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13.9623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0.7415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-0.0322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0.8163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RQ2 FE continuous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337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post_trend:share_border_exposed_insp</w:t>
            </w:r>
          </w:p>
        </w:tc>
        <w:tc>
          <w:tcPr>
            <w:tcW w:w="1782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-0.0979</w:t>
            </w:r>
          </w:p>
        </w:tc>
        <w:tc>
          <w:tcPr>
            <w:tcW w:w="1783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0.0423</w:t>
            </w:r>
          </w:p>
        </w:tc>
        <w:tc>
          <w:tcPr>
            <w:tcW w:w="17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</w:tbl>
    <w:p>
      <w:pPr>
        <w:pStyle w:val="Heading2"/>
        <w:rPr/>
      </w:pPr>
      <w:r>
        <w:rPr/>
        <w:t>A6. Cutoff Sensitivity (Timing-Focused Terms)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Cutoff km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Term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1584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post_2019:share_border_25km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-101.9283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0.7010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post_2019:share_border_75km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-75.6591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0.5116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100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post_2019:share_border_100km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-4.4795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0.9474</w:t>
            </w:r>
          </w:p>
        </w:tc>
        <w:tc>
          <w:tcPr>
            <w:tcW w:w="1584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</w:tbl>
    <w:p>
      <w:pPr>
        <w:pStyle w:val="Heading2"/>
        <w:rPr/>
      </w:pPr>
      <w:r>
        <w:rPr/>
        <w:t>A7. District Border-Type Profile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1079"/>
        <w:gridCol w:w="1440"/>
        <w:gridCol w:w="1079"/>
        <w:gridCol w:w="1441"/>
        <w:gridCol w:w="1440"/>
        <w:gridCol w:w="1440"/>
        <w:gridCol w:w="1441"/>
      </w:tblGrid>
      <w:tr>
        <w:trPr>
          <w:tblHeader w:val="true"/>
        </w:trPr>
        <w:tc>
          <w:tcPr>
            <w:tcW w:w="1079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District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Wells</w:t>
            </w:r>
          </w:p>
        </w:tc>
        <w:tc>
          <w:tcPr>
            <w:tcW w:w="1079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Dominant type</w:t>
            </w:r>
          </w:p>
        </w:tc>
        <w:tc>
          <w:tcPr>
            <w:tcW w:w="144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 share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 share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 share</w:t>
            </w:r>
          </w:p>
        </w:tc>
        <w:tc>
          <w:tcPr>
            <w:tcW w:w="1441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 share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31,898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0.2313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17,099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16,700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0.1166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04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20,973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TX-MX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0.6384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05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9,938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0.0022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06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24,422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TX-LA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0.0293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0.5235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08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105,931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0.0001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0.1905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09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46,485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29,621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TX-OK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0.0009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0.3020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6E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6,235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7B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21,230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7C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43,061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NONE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  <w:tr>
        <w:trPr/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8A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42,005</w:t>
            </w:r>
          </w:p>
        </w:tc>
        <w:tc>
          <w:tcPr>
            <w:tcW w:w="1079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TX-NM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0.4182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  <w:tc>
          <w:tcPr>
            <w:tcW w:w="1441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0.0000</w:t>
            </w:r>
          </w:p>
        </w:tc>
      </w:tr>
    </w:tbl>
    <w:p>
      <w:pPr>
        <w:pStyle w:val="Heading2"/>
        <w:rPr/>
      </w:pPr>
      <w:r>
        <w:rPr/>
        <w:t>A8. Figures and Output Artifacts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Border exposure map: </w:t>
      </w:r>
      <w:r>
        <w:rPr>
          <w:rStyle w:val="VerbatimChar"/>
        </w:rPr>
        <w:t>analysis/output_borderlands/well_border_exposure_map.png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Border vs non-border trends: </w:t>
      </w:r>
      <w:r>
        <w:rPr>
          <w:rStyle w:val="VerbatimChar"/>
        </w:rPr>
        <w:t>analysis/output_borderlands/border_vs_nonborder_trends.png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Main timing figure: </w:t>
      </w:r>
      <w:r>
        <w:rPr>
          <w:rStyle w:val="VerbatimChar"/>
        </w:rPr>
        <w:t>analysis/output_borderlands/money_plot_timing_border_prepost2019.png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Timing CI table: </w:t>
      </w:r>
      <w:r>
        <w:rPr>
          <w:rStyle w:val="VerbatimChar"/>
        </w:rPr>
        <w:t>analysis/output_borderlands/money_plot_timing_ci_by_year.csv</w:t>
      </w:r>
    </w:p>
    <w:p>
      <w:pPr>
        <w:pStyle w:val="Heading2"/>
        <w:rPr/>
      </w:pPr>
      <w:bookmarkStart w:id="9" w:name="Xc892ec30a6b1e8c4634e45f3db29e56453fe8f6"/>
      <w:r>
        <w:rPr/>
        <w:t>A9. Optional Prior Artifact (Not Estimated in Current Causal Scope)</w:t>
      </w:r>
    </w:p>
    <w:p>
      <w:pPr>
        <w:pStyle w:val="FirstParagraph"/>
        <w:rPr/>
      </w:pPr>
      <w:r>
        <w:rPr>
          <w:rStyle w:val="VerbatimChar"/>
        </w:rPr>
        <w:t>analysis/output_borderlands/competition_asymmetry_results.csv</w:t>
      </w:r>
      <w:r>
        <w:rPr/>
        <w:t xml:space="preserve"> contains:</w:t>
      </w:r>
    </w:p>
    <w:p>
      <w:pPr>
        <w:pStyle w:val="Compact"/>
        <w:numPr>
          <w:ilvl w:val="0"/>
          <w:numId w:val="1"/>
        </w:numPr>
        <w:rPr/>
      </w:pPr>
      <w:r>
        <w:rPr>
          <w:rStyle w:val="VerbatimChar"/>
        </w:rPr>
        <w:t>gap_pos</w:t>
      </w:r>
      <w:r>
        <w:rPr/>
        <w:t xml:space="preserve"> = 0.5837 (p &lt; 0.001)</w:t>
      </w:r>
    </w:p>
    <w:p>
      <w:pPr>
        <w:pStyle w:val="Compact"/>
        <w:numPr>
          <w:ilvl w:val="0"/>
          <w:numId w:val="1"/>
        </w:numPr>
        <w:rPr/>
      </w:pPr>
      <w:r>
        <w:rPr>
          <w:rStyle w:val="VerbatimChar"/>
        </w:rPr>
        <w:t>gap_neg</w:t>
      </w:r>
      <w:r>
        <w:rPr/>
        <w:t xml:space="preserve"> = 0.4993 (p = 0.0027)</w:t>
      </w:r>
    </w:p>
    <w:p>
      <w:pPr>
        <w:pStyle w:val="FirstParagraph"/>
        <w:rPr/>
      </w:pPr>
      <w:bookmarkStart w:id="10" w:name="Xc892ec30a6b1e8c4634e45f3db29e56453fe8f6"/>
      <w:r>
        <w:rPr/>
        <w:t>These estimates are not part of the current notebook’s identified model scope and should not be interpreted as a completed reaction-function test in this manuscript version.</w:t>
      </w:r>
      <w:bookmarkEnd w:id="10"/>
    </w:p>
    <w:p>
      <w:pPr>
        <w:pStyle w:val="Heading2"/>
        <w:rPr/>
      </w:pPr>
      <w:bookmarkStart w:id="11" w:name="Xc7f7f33108e82bac5801a1cb927a107c5a34606"/>
      <w:r>
        <w:rPr/>
        <w:t>A10. Estimation Workflow and Test Inventory</w:t>
      </w:r>
    </w:p>
    <w:p>
      <w:pPr>
        <w:pStyle w:val="Heading3"/>
        <w:rPr/>
      </w:pPr>
      <w:bookmarkStart w:id="12" w:name="border-treatment-construction"/>
      <w:r>
        <w:rPr/>
        <w:t>Border treatment construction</w:t>
      </w:r>
    </w:p>
    <w:p>
      <w:pPr>
        <w:pStyle w:val="FirstParagraph"/>
        <w:rPr/>
      </w:pPr>
      <w:r>
        <w:rPr/>
        <w:t>Two border definitions were used:</w:t>
      </w:r>
    </w:p>
    <w:p>
      <w:pPr>
        <w:pStyle w:val="Compact"/>
        <w:numPr>
          <w:ilvl w:val="0"/>
          <w:numId w:val="16"/>
        </w:numPr>
        <w:rPr/>
      </w:pPr>
      <w:r>
        <w:rPr/>
        <w:t>District-level baseline treatment (</w:t>
      </w:r>
      <w:r>
        <w:rPr>
          <w:rStyle w:val="VerbatimChar"/>
        </w:rPr>
        <w:t>border_district</w:t>
      </w:r>
      <w:r>
        <w:rPr/>
        <w:t xml:space="preserve">), with border-adjacent districts coded as </w:t>
      </w:r>
      <w:r>
        <w:rPr>
          <w:rStyle w:val="VerbatimChar"/>
        </w:rPr>
        <w:t>01</w:t>
      </w:r>
      <w:r>
        <w:rPr/>
        <w:t xml:space="preserve">, </w:t>
      </w:r>
      <w:r>
        <w:rPr>
          <w:rStyle w:val="VerbatimChar"/>
        </w:rPr>
        <w:t>02</w:t>
      </w:r>
      <w:r>
        <w:rPr/>
        <w:t xml:space="preserve">, </w:t>
      </w:r>
      <w:r>
        <w:rPr>
          <w:rStyle w:val="VerbatimChar"/>
        </w:rPr>
        <w:t>06</w:t>
      </w:r>
      <w:r>
        <w:rPr/>
        <w:t xml:space="preserve">, </w:t>
      </w:r>
      <w:r>
        <w:rPr>
          <w:rStyle w:val="VerbatimChar"/>
        </w:rPr>
        <w:t>08</w:t>
      </w:r>
      <w:r>
        <w:rPr/>
        <w:t xml:space="preserve">, </w:t>
      </w:r>
      <w:r>
        <w:rPr>
          <w:rStyle w:val="VerbatimChar"/>
        </w:rPr>
        <w:t>8A</w:t>
      </w:r>
      <w:r>
        <w:rPr/>
        <w:t xml:space="preserve">, </w:t>
      </w:r>
      <w:r>
        <w:rPr>
          <w:rStyle w:val="VerbatimChar"/>
        </w:rPr>
        <w:t>09</w:t>
      </w:r>
      <w:r>
        <w:rPr/>
        <w:t xml:space="preserve">, </w:t>
      </w:r>
      <w:r>
        <w:rPr>
          <w:rStyle w:val="VerbatimChar"/>
        </w:rPr>
        <w:t>10</w:t>
      </w:r>
      <w:r>
        <w:rPr/>
        <w:t>.</w:t>
      </w:r>
    </w:p>
    <w:p>
      <w:pPr>
        <w:pStyle w:val="Compact"/>
        <w:numPr>
          <w:ilvl w:val="0"/>
          <w:numId w:val="4"/>
        </w:numPr>
        <w:rPr/>
      </w:pPr>
      <w:r>
        <w:rPr/>
        <w:t>Well-level proximity treatment, rolled up to district-year exposure.</w:t>
      </w:r>
    </w:p>
    <w:p>
      <w:pPr>
        <w:pStyle w:val="FirstParagraph"/>
        <w:rPr/>
      </w:pPr>
      <w:r>
        <w:rPr/>
        <w:t>Well-level proximity workflow:</w:t>
      </w:r>
    </w:p>
    <w:p>
      <w:pPr>
        <w:pStyle w:val="Compact"/>
        <w:numPr>
          <w:ilvl w:val="0"/>
          <w:numId w:val="17"/>
        </w:numPr>
        <w:rPr/>
      </w:pPr>
      <w:r>
        <w:rPr/>
        <w:t xml:space="preserve">Import TX-MX proximity flags from </w:t>
      </w:r>
      <w:r>
        <w:rPr>
          <w:rStyle w:val="VerbatimChar"/>
        </w:rPr>
        <w:t>WellAnalyzer</w:t>
      </w:r>
      <w:r>
        <w:rPr/>
        <w:t xml:space="preserve"> (</w:t>
      </w:r>
      <w:r>
        <w:rPr>
          <w:rStyle w:val="VerbatimChar"/>
        </w:rPr>
        <w:t>within_25km_texmex</w:t>
      </w:r>
      <w:r>
        <w:rPr/>
        <w:t xml:space="preserve">, </w:t>
      </w:r>
      <w:r>
        <w:rPr>
          <w:rStyle w:val="VerbatimChar"/>
        </w:rPr>
        <w:t>within_50km_texmex</w:t>
      </w:r>
      <w:r>
        <w:rPr/>
        <w:t>).</w:t>
      </w:r>
    </w:p>
    <w:p>
      <w:pPr>
        <w:pStyle w:val="Compact"/>
        <w:numPr>
          <w:ilvl w:val="0"/>
          <w:numId w:val="4"/>
        </w:numPr>
        <w:rPr/>
      </w:pPr>
      <w:r>
        <w:rPr/>
        <w:t>Build additional TX-NM, TX-OK, TX-LA border segments from county boundary geometry plus seed lines.</w:t>
      </w:r>
    </w:p>
    <w:p>
      <w:pPr>
        <w:pStyle w:val="Compact"/>
        <w:numPr>
          <w:ilvl w:val="0"/>
          <w:numId w:val="4"/>
        </w:numPr>
        <w:rPr/>
      </w:pPr>
      <w:r>
        <w:rPr/>
        <w:t>Compute distances in EPSG:5070 and generate threshold flags.</w:t>
      </w:r>
    </w:p>
    <w:p>
      <w:pPr>
        <w:pStyle w:val="Compact"/>
        <w:numPr>
          <w:ilvl w:val="0"/>
          <w:numId w:val="4"/>
        </w:numPr>
        <w:rPr/>
      </w:pPr>
      <w:r>
        <w:rPr/>
        <w:t>Build composite indicators:</w:t>
      </w:r>
    </w:p>
    <w:p>
      <w:pPr>
        <w:pStyle w:val="Compact"/>
        <w:numPr>
          <w:ilvl w:val="1"/>
          <w:numId w:val="1"/>
        </w:numPr>
        <w:rPr/>
      </w:pPr>
      <w:r>
        <w:rPr>
          <w:rStyle w:val="VerbatimChar"/>
        </w:rPr>
        <w:t>within_50km_state_border_any</w:t>
      </w:r>
    </w:p>
    <w:p>
      <w:pPr>
        <w:pStyle w:val="Compact"/>
        <w:numPr>
          <w:ilvl w:val="1"/>
          <w:numId w:val="1"/>
        </w:numPr>
        <w:rPr/>
      </w:pPr>
      <w:r>
        <w:rPr>
          <w:rStyle w:val="VerbatimChar"/>
        </w:rPr>
        <w:t>well_border_exposed</w:t>
      </w:r>
      <w:r>
        <w:rPr/>
        <w:t xml:space="preserve"> (within 50 km of TX-MX or any TX-state border segment).</w:t>
      </w:r>
    </w:p>
    <w:p>
      <w:pPr>
        <w:pStyle w:val="FirstParagraph"/>
        <w:rPr/>
      </w:pPr>
      <w:r>
        <w:rPr/>
        <w:t>District-year exposure share:</w:t>
      </w:r>
    </w:p>
    <w:p>
      <w:pPr>
        <w:pStyle w:val="BodyText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B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x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</w:p>
    <w:p>
      <w:pPr>
        <w:pStyle w:val="FirstParagraph"/>
        <w:rPr/>
      </w:pPr>
      <w:r>
        <w:rPr/>
        <w:t>Alternative district coding:</w:t>
      </w:r>
    </w:p>
    <w:p>
      <w:pPr>
        <w:pStyle w:val="BodyText"/>
        <w:jc w:val="center"/>
        <w:rPr/>
      </w:pPr>
      <w:bookmarkStart w:id="13" w:name="border-treatment-construction"/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r</m:t>
          </m:r>
          <m:r>
            <m:rPr>
              <m:lit/>
              <m:nor/>
            </m:rPr>
            <w:rPr>
              <w:rFonts w:ascii="Cambria Math" w:hAnsi="Cambria Math"/>
            </w:rPr>
            <m:t xml:space="preserve">_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x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u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m:rPr>
              <m:lit/>
              <m:nor/>
            </m:rPr>
            <w:rPr>
              <w:rFonts w:ascii="Cambria Math" w:hAnsi="Cambria Math"/>
            </w:rPr>
            <m:t xml:space="preserve">_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c</m:t>
          </m:r>
          <m:sSub>
            <m:e>
              <m:r>
                <w:rPr>
                  <w:rFonts w:ascii="Cambria Math" w:hAnsi="Cambria Math"/>
                </w:rPr>
                <m:t xml:space="preserve">t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1</m:t>
          </m:r>
          <m:r>
            <w:rPr>
              <w:rFonts w:ascii="Cambria Math" w:hAnsi="Cambria Math"/>
            </w:rPr>
            <m:t xml:space="preserve">[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≥</m:t>
          </m:r>
          <m:r>
            <w:rPr>
              <w:rFonts w:ascii="Cambria Math" w:hAnsi="Cambria Math"/>
            </w:rPr>
            <m:t xml:space="preserve">0.25</m:t>
          </m:r>
          <m:r>
            <w:rPr>
              <w:rFonts w:ascii="Cambria Math" w:hAnsi="Cambria Math"/>
            </w:rPr>
            <m:t xml:space="preserve">]</m:t>
          </m:r>
        </m:oMath>
      </m:oMathPara>
      <w:bookmarkEnd w:id="13"/>
    </w:p>
    <w:p>
      <w:pPr>
        <w:pStyle w:val="Heading3"/>
        <w:rPr/>
      </w:pPr>
      <w:bookmarkStart w:id="14" w:name="tests-run"/>
      <w:r>
        <w:rPr/>
        <w:t>Tests run</w:t>
      </w:r>
    </w:p>
    <w:p>
      <w:pPr>
        <w:pStyle w:val="Compact"/>
        <w:numPr>
          <w:ilvl w:val="0"/>
          <w:numId w:val="18"/>
        </w:numPr>
        <w:rPr/>
      </w:pPr>
      <w:r>
        <w:rPr/>
        <w:t>Descriptive border-gap comparisons by group means.</w:t>
      </w:r>
    </w:p>
    <w:p>
      <w:pPr>
        <w:pStyle w:val="Compact"/>
        <w:numPr>
          <w:ilvl w:val="0"/>
          <w:numId w:val="4"/>
        </w:numPr>
        <w:rPr/>
      </w:pPr>
      <w:r>
        <w:rPr/>
        <w:t>RQ1 levels regressions: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Outcomes: </w:t>
      </w:r>
      <w:r>
        <w:rPr>
          <w:rStyle w:val="VerbatimChar"/>
        </w:rPr>
        <w:t>inspection_intensity</w:t>
      </w:r>
      <w:r>
        <w:rPr/>
        <w:t xml:space="preserve">, </w:t>
      </w:r>
      <w:r>
        <w:rPr>
          <w:rStyle w:val="VerbatimChar"/>
        </w:rPr>
        <w:t>violations_per_inspection</w:t>
      </w:r>
      <w:r>
        <w:rPr/>
        <w:t>.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Model: </w:t>
      </w:r>
      <w:r>
        <w:rPr>
          <w:rStyle w:val="VerbatimChar"/>
        </w:rPr>
        <w:t>border_district + log_unique_wells + C(year)</w:t>
      </w:r>
      <w:r>
        <w:rPr/>
        <w:t>.</w:t>
      </w:r>
    </w:p>
    <w:p>
      <w:pPr>
        <w:pStyle w:val="Compact"/>
        <w:numPr>
          <w:ilvl w:val="0"/>
          <w:numId w:val="4"/>
        </w:numPr>
        <w:rPr/>
      </w:pPr>
      <w:r>
        <w:rPr/>
        <w:t>RQ2 FE interaction regressions: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Outcomes: </w:t>
      </w:r>
      <w:r>
        <w:rPr>
          <w:rStyle w:val="VerbatimChar"/>
        </w:rPr>
        <w:t>inspection_intensity</w:t>
      </w:r>
      <w:r>
        <w:rPr/>
        <w:t xml:space="preserve">, </w:t>
      </w:r>
      <w:r>
        <w:rPr>
          <w:rStyle w:val="VerbatimChar"/>
        </w:rPr>
        <w:t>violations_per_inspection</w:t>
      </w:r>
      <w:r>
        <w:rPr/>
        <w:t xml:space="preserve">, </w:t>
      </w:r>
      <w:r>
        <w:rPr>
          <w:rStyle w:val="VerbatimChar"/>
        </w:rPr>
        <w:t>avg_days_to_enforcement</w:t>
      </w:r>
      <w:r>
        <w:rPr/>
        <w:t xml:space="preserve">, </w:t>
      </w:r>
      <w:r>
        <w:rPr>
          <w:rStyle w:val="VerbatimChar"/>
        </w:rPr>
        <w:t>resolution_rate</w:t>
      </w:r>
      <w:r>
        <w:rPr/>
        <w:t>.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Model: </w:t>
      </w:r>
      <w:r>
        <w:rPr>
          <w:rStyle w:val="VerbatimChar"/>
        </w:rPr>
        <w:t>C(district) + C(year) + post_2019:border_district + post_trend:border_district</w:t>
      </w:r>
      <w:r>
        <w:rPr/>
        <w:t>.</w:t>
      </w:r>
    </w:p>
    <w:p>
      <w:pPr>
        <w:pStyle w:val="Compact"/>
        <w:numPr>
          <w:ilvl w:val="0"/>
          <w:numId w:val="4"/>
        </w:numPr>
        <w:rPr/>
      </w:pPr>
      <w:r>
        <w:rPr/>
        <w:t>Border-type robustness:</w:t>
      </w:r>
    </w:p>
    <w:p>
      <w:pPr>
        <w:pStyle w:val="Compact"/>
        <w:numPr>
          <w:ilvl w:val="1"/>
          <w:numId w:val="1"/>
        </w:numPr>
        <w:rPr/>
      </w:pPr>
      <w:r>
        <w:rPr/>
        <w:t>District border-type profile (</w:t>
      </w:r>
      <w:r>
        <w:rPr>
          <w:rStyle w:val="VerbatimChar"/>
        </w:rPr>
        <w:t>TX-MX</w:t>
      </w:r>
      <w:r>
        <w:rPr/>
        <w:t xml:space="preserve">, </w:t>
      </w:r>
      <w:r>
        <w:rPr>
          <w:rStyle w:val="VerbatimChar"/>
        </w:rPr>
        <w:t>TX-NM</w:t>
      </w:r>
      <w:r>
        <w:rPr/>
        <w:t xml:space="preserve">, </w:t>
      </w:r>
      <w:r>
        <w:rPr>
          <w:rStyle w:val="VerbatimChar"/>
        </w:rPr>
        <w:t>TX-OK</w:t>
      </w:r>
      <w:r>
        <w:rPr/>
        <w:t xml:space="preserve">, </w:t>
      </w:r>
      <w:r>
        <w:rPr>
          <w:rStyle w:val="VerbatimChar"/>
        </w:rPr>
        <w:t>TX-LA</w:t>
      </w:r>
      <w:r>
        <w:rPr/>
        <w:t>).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RQ1-style levels with </w:t>
      </w:r>
      <w:r>
        <w:rPr>
          <w:rStyle w:val="VerbatimChar"/>
        </w:rPr>
        <w:t>has_tx_*</w:t>
      </w:r>
      <w:r>
        <w:rPr/>
        <w:t>.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RQ2-style FE interactions with </w:t>
      </w:r>
      <w:r>
        <w:rPr>
          <w:rStyle w:val="VerbatimChar"/>
        </w:rPr>
        <w:t>post_2019:has_tx_*</w:t>
      </w:r>
      <w:r>
        <w:rPr/>
        <w:t xml:space="preserve"> and </w:t>
      </w:r>
      <w:r>
        <w:rPr>
          <w:rStyle w:val="VerbatimChar"/>
        </w:rPr>
        <w:t>post_trend:has_tx_*</w:t>
      </w:r>
      <w:r>
        <w:rPr/>
        <w:t>.</w:t>
      </w:r>
    </w:p>
    <w:p>
      <w:pPr>
        <w:pStyle w:val="Compact"/>
        <w:numPr>
          <w:ilvl w:val="0"/>
          <w:numId w:val="4"/>
        </w:numPr>
        <w:rPr/>
      </w:pPr>
      <w:r>
        <w:rPr/>
        <w:t>Continuous exposure robustness:</w:t>
      </w:r>
    </w:p>
    <w:p>
      <w:pPr>
        <w:pStyle w:val="Compact"/>
        <w:numPr>
          <w:ilvl w:val="1"/>
          <w:numId w:val="1"/>
        </w:numPr>
        <w:rPr/>
      </w:pPr>
      <w:r>
        <w:rPr/>
        <w:t xml:space="preserve">Replace binary border term with </w:t>
      </w:r>
      <w:r>
        <w:rPr>
          <w:rStyle w:val="VerbatimChar"/>
        </w:rPr>
        <w:t>share_border_exposed_insp</w:t>
      </w:r>
      <w:r>
        <w:rPr/>
        <w:t xml:space="preserve"> in RQ1-style and RQ2-style specifications.</w:t>
      </w:r>
    </w:p>
    <w:p>
      <w:pPr>
        <w:pStyle w:val="Compact"/>
        <w:numPr>
          <w:ilvl w:val="0"/>
          <w:numId w:val="4"/>
        </w:numPr>
        <w:rPr/>
      </w:pPr>
      <w:r>
        <w:rPr/>
        <w:t>Cutoff sensitivity robustness:</w:t>
      </w:r>
    </w:p>
    <w:p>
      <w:pPr>
        <w:pStyle w:val="Compact"/>
        <w:numPr>
          <w:ilvl w:val="1"/>
          <w:numId w:val="1"/>
        </w:numPr>
        <w:rPr/>
      </w:pPr>
      <w:r>
        <w:rPr/>
        <w:t>Recompute exposure using minimum distance to any border at 25/75/100 km.</w:t>
      </w:r>
    </w:p>
    <w:p>
      <w:pPr>
        <w:pStyle w:val="Compact"/>
        <w:numPr>
          <w:ilvl w:val="1"/>
          <w:numId w:val="1"/>
        </w:numPr>
        <w:rPr/>
      </w:pPr>
      <w:r>
        <w:rPr/>
        <w:t>Estimate RQ1-style inspection-intensity models and RQ2-style timing interaction models.</w:t>
      </w:r>
    </w:p>
    <w:p>
      <w:pPr>
        <w:pStyle w:val="Compact"/>
        <w:numPr>
          <w:ilvl w:val="0"/>
          <w:numId w:val="4"/>
        </w:numPr>
        <w:rPr/>
      </w:pPr>
      <w:r>
        <w:rPr/>
        <w:t>Figures/reporting:</w:t>
      </w:r>
    </w:p>
    <w:p>
      <w:pPr>
        <w:pStyle w:val="Compact"/>
        <w:numPr>
          <w:ilvl w:val="1"/>
          <w:numId w:val="1"/>
        </w:numPr>
        <w:rPr/>
      </w:pPr>
      <w:r>
        <w:rPr/>
        <w:t>Border vs non-border trend plots.</w:t>
      </w:r>
    </w:p>
    <w:p>
      <w:pPr>
        <w:pStyle w:val="Compact"/>
        <w:numPr>
          <w:ilvl w:val="1"/>
          <w:numId w:val="1"/>
        </w:numPr>
        <w:rPr/>
      </w:pPr>
      <w:r>
        <w:rPr/>
        <w:t>Main timing figure with district-year means and 95% CIs.</w:t>
      </w:r>
    </w:p>
    <w:p>
      <w:pPr>
        <w:pStyle w:val="Compact"/>
        <w:numPr>
          <w:ilvl w:val="0"/>
          <w:numId w:val="4"/>
        </w:numPr>
        <w:rPr/>
      </w:pPr>
      <w:r>
        <w:rPr/>
        <w:t>Reaction-function scaffolding (not estimated):</w:t>
      </w:r>
    </w:p>
    <w:p>
      <w:pPr>
        <w:pStyle w:val="Compact"/>
        <w:numPr>
          <w:ilvl w:val="1"/>
          <w:numId w:val="1"/>
        </w:numPr>
        <w:spacing w:before="36" w:after="36"/>
        <w:rPr/>
      </w:pPr>
      <w:bookmarkStart w:id="15" w:name="appendix"/>
      <w:bookmarkStart w:id="16" w:name="Xc7f7f33108e82bac5801a1cb927a107c5a34606"/>
      <w:bookmarkStart w:id="17" w:name="tests-run"/>
      <w:r>
        <w:rPr/>
        <w:t>Create district-competitor link table and district-year competitor template for future data integration.</w:t>
      </w:r>
      <w:bookmarkEnd w:id="15"/>
      <w:bookmarkEnd w:id="16"/>
      <w:bookmarkEnd w:id="17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DejaVu Sans">
    <w:charset w:val="01"/>
    <w:family w:val="swiss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4"/>
    <w:lvlOverride w:ilvl="0">
      <w:startOverride w:val="1"/>
    </w:lvlOverride>
  </w:num>
  <w:num w:numId="17">
    <w:abstractNumId w:val="4"/>
    <w:lvlOverride w:ilvl="0">
      <w:startOverride w:val="1"/>
    </w:lvlOverride>
  </w:num>
  <w:num w:numId="18">
    <w:abstractNumId w:val="4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sz w:val="24"/>
        <w:szCs w:val="24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DejaVu Sans" w:hAnsi="DejaVu Sans" w:eastAsia="" w:cs="" w:cstheme="minorBidi" w:eastAsiaTheme="minorEastAsia"/>
      <w:color w:val="auto"/>
      <w:kern w:val="0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Date">
    <w:name w:val="Date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LibreOffice/26.2.0.3$Linux_X86_64 LibreOffice_project/620$Build-3</Application>
  <AppVersion>15.0000</AppVersion>
  <Pages>6</Pages>
  <Words>708</Words>
  <Characters>5241</Characters>
  <CharactersWithSpaces>5592</CharactersWithSpaces>
  <Paragraphs>323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2026-02-21T17:30:31Z</dcterms:created>
  <dc:creator/>
  <dc:description/>
  <dc:language>en-US</dc:language>
  <cp:lastModifiedBy>David Adams</cp:lastModifiedBy>
  <dcterms:modified xsi:type="dcterms:W3CDTF">2026-02-21T09:30:46Z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