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keepNext w:val="true"/>
        <w:keepLines/>
        <w:spacing w:before="360" w:after="80"/>
        <w:rPr/>
      </w:pPr>
      <w:bookmarkStart w:id="0" w:name="introduction"/>
      <w:r>
        <w:rPr/>
        <w:t>Introduction</w:t>
      </w:r>
    </w:p>
    <w:p>
      <w:pPr>
        <w:pStyle w:val="FirstParagraph"/>
        <w:rPr/>
      </w:pPr>
      <w:r>
        <w:rPr/>
        <w:t>Regulatory enforcement in borderlands jurisdictions is often expected to differ from interior jurisdictions due to administrative constraints, multi-jurisdictional exposure, and monitoring frictions. This manuscript analyzes Texas Railroad Commission district-year outcomes (2015-2025) to assess whether border-exposed districts show systematic enforcement gaps and whether those gaps changed after the 2019 disclosure reform.</w:t>
      </w:r>
    </w:p>
    <w:p>
      <w:pPr>
        <w:pStyle w:val="BodyText"/>
        <w:rPr/>
      </w:pPr>
      <w:r>
        <w:rPr/>
        <w:t>The empirical design centers on two research questions from the notebook:</w:t>
      </w:r>
    </w:p>
    <w:p>
      <w:pPr>
        <w:pStyle w:val="Compact"/>
        <w:numPr>
          <w:ilvl w:val="0"/>
          <w:numId w:val="19"/>
        </w:numPr>
        <w:rPr/>
      </w:pPr>
      <w:r>
        <w:rPr/>
        <w:t>RQ1 (Border gaps): Do border-exposed Texas districts differ from non-border districts in enforcement intensity and pipeline outcomes?</w:t>
      </w:r>
    </w:p>
    <w:p>
      <w:pPr>
        <w:pStyle w:val="Compact"/>
        <w:numPr>
          <w:ilvl w:val="0"/>
          <w:numId w:val="1"/>
        </w:numPr>
        <w:rPr/>
      </w:pPr>
      <w:bookmarkStart w:id="1" w:name="introduction"/>
      <w:r>
        <w:rPr/>
        <w:t>RQ2 (Disclosure heterogeneity): Did the 2019 disclosure reform change enforcement outcomes differently in border districts versus non-border districts (level shift and post-policy trend differential)?</w:t>
      </w:r>
      <w:bookmarkEnd w:id="1"/>
    </w:p>
    <w:p>
      <w:pPr>
        <w:pStyle w:val="Heading1"/>
        <w:rPr/>
      </w:pPr>
      <w:bookmarkStart w:id="2" w:name="theory"/>
      <w:r>
        <w:rPr/>
        <w:t>Theory</w:t>
      </w:r>
    </w:p>
    <w:p>
      <w:pPr>
        <w:pStyle w:val="FirstParagraph"/>
        <w:rPr/>
      </w:pPr>
      <w:r>
        <w:rPr/>
        <w:t>We use a borderlands governance framing with two linked mechanisms: capacity asymmetry and transparency-throughput effects. The corresponding hypotheses are:</w:t>
      </w:r>
    </w:p>
    <w:p>
      <w:pPr>
        <w:pStyle w:val="Compact"/>
        <w:numPr>
          <w:ilvl w:val="0"/>
          <w:numId w:val="20"/>
        </w:numPr>
        <w:rPr/>
      </w:pPr>
      <w:r>
        <w:rPr/>
        <w:t>H1 (Border inspection gap): Border districts have lower inspection intensity than non-border districts.</w:t>
      </w:r>
    </w:p>
    <w:p>
      <w:pPr>
        <w:pStyle w:val="Compact"/>
        <w:numPr>
          <w:ilvl w:val="0"/>
          <w:numId w:val="1"/>
        </w:numPr>
        <w:rPr/>
      </w:pPr>
      <w:r>
        <w:rPr/>
        <w:t>H2 (Border pipeline disadvantage): Border districts show weaker enforcement pipeline outcomes (higher violations per inspection and/or slower timing and/or lower resolution rates).</w:t>
      </w:r>
    </w:p>
    <w:p>
      <w:pPr>
        <w:pStyle w:val="Compact"/>
        <w:numPr>
          <w:ilvl w:val="0"/>
          <w:numId w:val="1"/>
        </w:numPr>
        <w:rPr/>
      </w:pPr>
      <w:r>
        <w:rPr/>
        <w:t>H3 (Disclosure heterogeneity in levels): Post-2019 level shifts differ between border and non-border districts (</w:t>
      </w:r>
      <w:r>
        <w:rPr>
          <w:rStyle w:val="VerbatimChar"/>
        </w:rPr>
        <w:t>post_2019:border</w:t>
      </w:r>
      <w:r>
        <w:rPr/>
        <w:t>).</w:t>
      </w:r>
    </w:p>
    <w:p>
      <w:pPr>
        <w:pStyle w:val="Compact"/>
        <w:numPr>
          <w:ilvl w:val="0"/>
          <w:numId w:val="1"/>
        </w:numPr>
        <w:rPr/>
      </w:pPr>
      <w:r>
        <w:rPr/>
        <w:t>H4 (Disclosure heterogeneity in trends): Post-2019 trend shifts differ between border and non-border districts (</w:t>
      </w:r>
      <w:r>
        <w:rPr>
          <w:rStyle w:val="VerbatimChar"/>
        </w:rPr>
        <w:t>post_trend:border</w:t>
      </w:r>
      <w:r>
        <w:rPr/>
        <w:t>).</w:t>
      </w:r>
    </w:p>
    <w:p>
      <w:pPr>
        <w:pStyle w:val="FirstParagraph"/>
        <w:rPr/>
      </w:pPr>
      <w:bookmarkStart w:id="3" w:name="theory"/>
      <w:r>
        <w:rPr/>
        <w:t>This yields a core empirical claim: post-2019 border effects should be strongest in enforcement timing rather than in inspection coverage or resolution outcomes.</w:t>
      </w:r>
      <w:bookmarkEnd w:id="3"/>
    </w:p>
    <w:p>
      <w:pPr>
        <w:pStyle w:val="Heading1"/>
        <w:rPr/>
      </w:pPr>
      <w:bookmarkStart w:id="4" w:name="methods"/>
      <w:r>
        <w:rPr/>
        <w:t>Methods</w:t>
      </w:r>
    </w:p>
    <w:p>
      <w:pPr>
        <w:pStyle w:val="Heading2"/>
        <w:rPr/>
      </w:pPr>
      <w:bookmarkStart w:id="5" w:name="data-and-unit-of-analysis"/>
      <w:r>
        <w:rPr/>
        <w:t>Data and Unit of Analysis</w:t>
      </w:r>
    </w:p>
    <w:p>
      <w:pPr>
        <w:pStyle w:val="Compact"/>
        <w:numPr>
          <w:ilvl w:val="0"/>
          <w:numId w:val="3"/>
        </w:numPr>
        <w:rPr/>
      </w:pPr>
      <w:r>
        <w:rPr/>
        <w:t>Unit: district-year.</w:t>
      </w:r>
    </w:p>
    <w:p>
      <w:pPr>
        <w:pStyle w:val="Compact"/>
        <w:numPr>
          <w:ilvl w:val="0"/>
          <w:numId w:val="3"/>
        </w:numPr>
        <w:rPr/>
      </w:pPr>
      <w:r>
        <w:rPr/>
        <w:t>Coverage: 13 Texas RRC districts, 2015-2025.</w:t>
      </w:r>
    </w:p>
    <w:p>
      <w:pPr>
        <w:pStyle w:val="Compact"/>
        <w:numPr>
          <w:ilvl w:val="0"/>
          <w:numId w:val="3"/>
        </w:numPr>
        <w:rPr/>
      </w:pPr>
      <w:r>
        <w:rPr/>
        <w:t xml:space="preserve">Source tables: </w:t>
      </w:r>
      <w:r>
        <w:rPr>
          <w:rStyle w:val="VerbatimChar"/>
        </w:rPr>
        <w:t>well_shape_tract</w:t>
      </w:r>
      <w:r>
        <w:rPr/>
        <w:t xml:space="preserve">, </w:t>
      </w:r>
      <w:r>
        <w:rPr>
          <w:rStyle w:val="VerbatimChar"/>
        </w:rPr>
        <w:t>inspections</w:t>
      </w:r>
      <w:r>
        <w:rPr/>
        <w:t xml:space="preserve">, </w:t>
      </w:r>
      <w:r>
        <w:rPr>
          <w:rStyle w:val="VerbatimChar"/>
        </w:rPr>
        <w:t>violations</w:t>
      </w:r>
      <w:r>
        <w:rPr/>
        <w:t>.</w:t>
      </w:r>
    </w:p>
    <w:p>
      <w:pPr>
        <w:pStyle w:val="Compact"/>
        <w:numPr>
          <w:ilvl w:val="0"/>
          <w:numId w:val="3"/>
        </w:numPr>
        <w:rPr/>
      </w:pPr>
      <w:bookmarkStart w:id="6" w:name="data-and-unit-of-analysis"/>
      <w:r>
        <w:rPr/>
        <w:t>Sample in current run: 1,010,432 wells; 1,867,859 inspections; 191,762 violations; 143 district-year observations.</w:t>
      </w:r>
      <w:bookmarkEnd w:id="6"/>
    </w:p>
    <w:p>
      <w:pPr>
        <w:pStyle w:val="Heading2"/>
        <w:rPr/>
      </w:pPr>
      <w:bookmarkStart w:id="7" w:name="X4e4fd75b88efd3248513211eb12073accec216b"/>
      <w:r>
        <w:rPr/>
        <w:t>Border Measurement: District Coding and Well Proximity</w:t>
      </w:r>
    </w:p>
    <w:p>
      <w:pPr>
        <w:pStyle w:val="FirstParagraph"/>
        <w:rPr/>
      </w:pPr>
      <w:r>
        <w:rPr/>
        <w:t>We use two complementary border constructions.</w:t>
      </w:r>
    </w:p>
    <w:p>
      <w:pPr>
        <w:pStyle w:val="Compact"/>
        <w:numPr>
          <w:ilvl w:val="0"/>
          <w:numId w:val="21"/>
        </w:numPr>
        <w:rPr/>
      </w:pPr>
      <w:r>
        <w:rPr/>
        <w:t>District-level baseline treatment (</w:t>
      </w:r>
      <w:r>
        <w:rPr>
          <w:rStyle w:val="VerbatimChar"/>
        </w:rPr>
        <w:t>border_district</w:t>
      </w:r>
      <w:r>
        <w:rPr/>
        <w:t>): districts in the predefined border-adjacent set (</w:t>
      </w:r>
      <w:r>
        <w:rPr>
          <w:rStyle w:val="VerbatimChar"/>
        </w:rPr>
        <w:t>01</w:t>
      </w:r>
      <w:r>
        <w:rPr/>
        <w:t xml:space="preserve">, </w:t>
      </w:r>
      <w:r>
        <w:rPr>
          <w:rStyle w:val="VerbatimChar"/>
        </w:rPr>
        <w:t>02</w:t>
      </w:r>
      <w:r>
        <w:rPr/>
        <w:t xml:space="preserve">, </w:t>
      </w:r>
      <w:r>
        <w:rPr>
          <w:rStyle w:val="VerbatimChar"/>
        </w:rPr>
        <w:t>06</w:t>
      </w:r>
      <w:r>
        <w:rPr/>
        <w:t xml:space="preserve">, </w:t>
      </w:r>
      <w:r>
        <w:rPr>
          <w:rStyle w:val="VerbatimChar"/>
        </w:rPr>
        <w:t>08</w:t>
      </w:r>
      <w:r>
        <w:rPr/>
        <w:t xml:space="preserve">, </w:t>
      </w:r>
      <w:r>
        <w:rPr>
          <w:rStyle w:val="VerbatimChar"/>
        </w:rPr>
        <w:t>8A</w:t>
      </w:r>
      <w:r>
        <w:rPr/>
        <w:t xml:space="preserve">, </w:t>
      </w:r>
      <w:r>
        <w:rPr>
          <w:rStyle w:val="VerbatimChar"/>
        </w:rPr>
        <w:t>09</w:t>
      </w:r>
      <w:r>
        <w:rPr/>
        <w:t xml:space="preserve">, </w:t>
      </w:r>
      <w:r>
        <w:rPr>
          <w:rStyle w:val="VerbatimChar"/>
        </w:rPr>
        <w:t>10</w:t>
      </w:r>
      <w:r>
        <w:rPr/>
        <w:t>) are coded 1; others are coded 0.</w:t>
      </w:r>
    </w:p>
    <w:p>
      <w:pPr>
        <w:pStyle w:val="Compact"/>
        <w:numPr>
          <w:ilvl w:val="0"/>
          <w:numId w:val="1"/>
        </w:numPr>
        <w:rPr/>
      </w:pPr>
      <w:r>
        <w:rPr/>
        <w:t>Well-level proximity treatment: each well is classified by spatial proximity to border segments, then rolled up to district-year exposure shares.</w:t>
      </w:r>
    </w:p>
    <w:p>
      <w:pPr>
        <w:pStyle w:val="FirstParagraph"/>
        <w:rPr/>
      </w:pPr>
      <w:r>
        <w:rPr/>
        <w:t>Well-level proximity was constructed from latitude/longitude and shapefiles as follows:</w:t>
      </w:r>
    </w:p>
    <w:p>
      <w:pPr>
        <w:pStyle w:val="Compact"/>
        <w:numPr>
          <w:ilvl w:val="0"/>
          <w:numId w:val="22"/>
        </w:numPr>
        <w:rPr/>
      </w:pPr>
      <w:r>
        <w:rPr/>
        <w:t xml:space="preserve">Texas-Mexico distance/flags from </w:t>
      </w:r>
      <w:r>
        <w:rPr>
          <w:rStyle w:val="VerbatimChar"/>
        </w:rPr>
        <w:t>WellAnalyzer</w:t>
      </w:r>
      <w:r>
        <w:rPr/>
        <w:t xml:space="preserve"> (</w:t>
      </w:r>
      <w:r>
        <w:rPr>
          <w:rStyle w:val="VerbatimChar"/>
        </w:rPr>
        <w:t>within_25km_texmex</w:t>
      </w:r>
      <w:r>
        <w:rPr/>
        <w:t xml:space="preserve">, </w:t>
      </w:r>
      <w:r>
        <w:rPr>
          <w:rStyle w:val="VerbatimChar"/>
        </w:rPr>
        <w:t>within_50km_texmex</w:t>
      </w:r>
      <w:r>
        <w:rPr/>
        <w:t>).</w:t>
      </w:r>
    </w:p>
    <w:p>
      <w:pPr>
        <w:pStyle w:val="Compact"/>
        <w:numPr>
          <w:ilvl w:val="0"/>
          <w:numId w:val="1"/>
        </w:numPr>
        <w:rPr/>
      </w:pPr>
      <w:r>
        <w:rPr/>
        <w:t>Additional state-border segments (TX-NM, TX-OK, TX-LA) built from Texas county boundary geometry and seed lines.</w:t>
      </w:r>
    </w:p>
    <w:p>
      <w:pPr>
        <w:pStyle w:val="Compact"/>
        <w:numPr>
          <w:ilvl w:val="0"/>
          <w:numId w:val="1"/>
        </w:numPr>
        <w:rPr/>
      </w:pPr>
      <w:r>
        <w:rPr/>
        <w:t>Distances computed in projected CRS (EPSG:5070), then threshold flags generated at 25 km and 50 km.</w:t>
      </w:r>
    </w:p>
    <w:p>
      <w:pPr>
        <w:pStyle w:val="Compact"/>
        <w:numPr>
          <w:ilvl w:val="0"/>
          <w:numId w:val="1"/>
        </w:numPr>
        <w:rPr/>
      </w:pPr>
      <w:r>
        <w:rPr/>
        <w:t>Composite exposure indicators created:</w:t>
      </w:r>
    </w:p>
    <w:p>
      <w:pPr>
        <w:pStyle w:val="Compact"/>
        <w:numPr>
          <w:ilvl w:val="1"/>
          <w:numId w:val="3"/>
        </w:numPr>
        <w:rPr/>
      </w:pPr>
      <w:r>
        <w:rPr>
          <w:rStyle w:val="VerbatimChar"/>
        </w:rPr>
        <w:t>within_50km_state_border_any</w:t>
      </w:r>
    </w:p>
    <w:p>
      <w:pPr>
        <w:pStyle w:val="Compact"/>
        <w:numPr>
          <w:ilvl w:val="1"/>
          <w:numId w:val="3"/>
        </w:numPr>
        <w:rPr/>
      </w:pPr>
      <w:r>
        <w:rPr>
          <w:rStyle w:val="VerbatimChar"/>
        </w:rPr>
        <w:t>well_border_exposed</w:t>
      </w:r>
      <w:r>
        <w:rPr/>
        <w:t xml:space="preserve"> (1 if within 50 km of TX-MX or any TX-state border segment).</w:t>
      </w:r>
    </w:p>
    <w:p>
      <w:pPr>
        <w:pStyle w:val="FirstParagraph"/>
        <w:rPr/>
      </w:pPr>
      <w:r>
        <w:rPr/>
        <w:t>District-year well-proximity exposure is measured as:</w:t>
      </w:r>
    </w:p>
    <w:p>
      <w:pPr>
        <w:pStyle w:val="BodyText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B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r</m:t>
              </m:r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r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x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den>
          </m:f>
        </m:oMath>
      </m:oMathPara>
    </w:p>
    <w:p>
      <w:pPr>
        <w:pStyle w:val="FirstParagraph"/>
        <w:rPr/>
      </w:pPr>
      <w:r>
        <w:rPr/>
        <w:t xml:space="preserve">and an alternative district treatment is defined as </w:t>
      </w:r>
      <w:r>
        <w:rPr>
          <w:rStyle w:val="VerbatimChar"/>
        </w:rPr>
        <w:t>border_exposure_district = 1</w:t>
      </w:r>
      <w:r>
        <w:rPr/>
        <w:t xml:space="preserve"> when </w:t>
      </w:r>
      <w:r>
        <w:rPr>
          <w:rStyle w:val="VerbatimChar"/>
        </w:rPr>
        <w:t>ShareBorder_{dt} \ge 0.25</w:t>
      </w:r>
      <w:r>
        <w:rPr/>
        <w:t>.</w:t>
      </w:r>
      <w:bookmarkEnd w:id="7"/>
    </w:p>
    <w:p>
      <w:pPr>
        <w:pStyle w:val="Heading2"/>
        <w:rPr/>
      </w:pPr>
      <w:bookmarkStart w:id="8" w:name="outcomes"/>
      <w:r>
        <w:rPr/>
        <w:t>Outcomes</w:t>
      </w:r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c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y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 xml:space="preserve">U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q</m:t>
              </m:r>
              <m:r>
                <w:rPr>
                  <w:rFonts w:ascii="Cambria Math" w:hAnsi="Cambria Math"/>
                </w:rPr>
                <m:t xml:space="preserve">u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W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l</m:t>
              </m:r>
              <m:r>
                <w:rPr>
                  <w:rFonts w:ascii="Cambria Math" w:hAnsi="Cambria Math"/>
                </w:rPr>
                <m:t xml:space="preserve">l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den>
          </m:f>
        </m:oMath>
      </m:oMathPara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V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l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s</m:t>
          </m:r>
          <m:sSub>
            <m:e>
              <m:r>
                <w:rPr>
                  <w:rFonts w:ascii="Cambria Math" w:hAnsi="Cambria Math"/>
                </w:rPr>
                <m:t xml:space="preserve">p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V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l</m:t>
              </m:r>
              <m:r>
                <w:rPr>
                  <w:rFonts w:ascii="Cambria Math" w:hAnsi="Cambria Math"/>
                </w:rPr>
                <m:t xml:space="preserve">a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den>
          </m:f>
        </m:oMath>
      </m:oMathPara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y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sSub>
            <m:e>
              <m:r>
                <w:rPr>
                  <w:rFonts w:ascii="Cambria Math" w:hAnsi="Cambria Math"/>
                </w:rPr>
                <m:t xml:space="preserve">f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1</m:t>
              </m:r>
            </m:num>
            <m:den>
              <m:sSub>
                <m:e>
                  <m:r>
                    <w:rPr>
                      <w:rFonts w:ascii="Cambria Math" w:hAnsi="Cambria Math"/>
                    </w:rPr>
                    <m:t xml:space="preserve">N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den>
          </m:f>
          <m:nary>
            <m:naryPr>
              <m:chr m:val="∑"/>
            </m:naryPr>
            <m:sub>
              <m:r>
                <w:rPr>
                  <w:rFonts w:ascii="Cambria Math" w:hAnsi="Cambria Math"/>
                </w:rPr>
                <m:t xml:space="preserve">i</m:t>
              </m:r>
              <m:r>
                <m:rPr>
                  <m:lit/>
                  <m:nor/>
                </m:rPr>
                <w:rPr>
                  <w:rFonts w:ascii="Cambria Math" w:hAnsi="Cambria Math"/>
                </w:rPr>
                <m:t xml:space="preserve">=</m:t>
              </m:r>
              <m:r>
                <w:rPr>
                  <w:rFonts w:ascii="Cambria Math" w:hAnsi="Cambria Math"/>
                </w:rPr>
                <m:t xml:space="preserve">1</m:t>
              </m:r>
            </m:sub>
            <m:sup>
              <m:sSub>
                <m:e>
                  <m:r>
                    <w:rPr>
                      <w:rFonts w:ascii="Cambria Math" w:hAnsi="Cambria Math"/>
                    </w:rPr>
                    <m:t xml:space="preserve">N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sup>
            <m:e>
              <m:r>
                <w:rPr>
                  <w:rFonts w:ascii="Cambria Math" w:hAnsi="Cambria Math"/>
                </w:rPr>
                <m:t xml:space="preserve">(</m:t>
              </m:r>
            </m:e>
          </m:nary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f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c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m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e</m:t>
              </m:r>
            </m:e>
            <m:sub>
              <m:r>
                <w:rPr>
                  <w:rFonts w:ascii="Cambria Math" w:hAnsi="Cambria Math"/>
                </w:rPr>
                <m:t xml:space="preserve">i</m:t>
              </m:r>
            </m:sub>
          </m:sSub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V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l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c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v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y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e</m:t>
              </m:r>
            </m:e>
            <m:sub>
              <m:r>
                <w:rPr>
                  <w:rFonts w:ascii="Cambria Math" w:hAnsi="Cambria Math"/>
                </w:rPr>
                <m:t xml:space="preserve">i</m:t>
              </m:r>
            </m:sub>
          </m:sSub>
          <m:r>
            <w:rPr>
              <w:rFonts w:ascii="Cambria Math" w:hAnsi="Cambria Math"/>
            </w:rPr>
            <m:t xml:space="preserve">)</m:t>
          </m:r>
        </m:oMath>
      </m:oMathPara>
    </w:p>
    <w:p>
      <w:pPr>
        <w:pStyle w:val="FirstParagraph"/>
        <w:jc w:val="center"/>
        <w:rPr/>
      </w:pPr>
      <w:bookmarkStart w:id="9" w:name="outcomes"/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l</m:t>
          </m:r>
          <m:r>
            <w:rPr>
              <w:rFonts w:ascii="Cambria Math" w:hAnsi="Cambria Math"/>
            </w:rPr>
            <m:t xml:space="preserve">u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e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m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l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a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R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n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 xml:space="preserve">V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l</m:t>
              </m:r>
              <m:r>
                <w:rPr>
                  <w:rFonts w:ascii="Cambria Math" w:hAnsi="Cambria Math"/>
                </w:rPr>
                <m:t xml:space="preserve">a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den>
          </m:f>
        </m:oMath>
      </m:oMathPara>
      <w:bookmarkEnd w:id="9"/>
    </w:p>
    <w:p>
      <w:pPr>
        <w:pStyle w:val="Heading2"/>
        <w:rPr/>
      </w:pPr>
      <w:bookmarkStart w:id="10" w:name="exposure-definitions"/>
      <w:r>
        <w:rPr/>
        <w:t>Exposure Definitions</w:t>
      </w:r>
    </w:p>
    <w:p>
      <w:pPr>
        <w:pStyle w:val="Compact"/>
        <w:numPr>
          <w:ilvl w:val="0"/>
          <w:numId w:val="3"/>
        </w:numPr>
        <w:rPr/>
      </w:pPr>
      <w:r>
        <w:rPr/>
        <w:t xml:space="preserve">Baseline treatment: </w:t>
      </w:r>
      <w:r>
        <w:rPr>
          <w:rStyle w:val="VerbatimChar"/>
        </w:rPr>
        <w:t>border_district</w:t>
      </w:r>
      <w:r>
        <w:rPr/>
        <w:t xml:space="preserve"> (binary district border status).</w:t>
      </w:r>
    </w:p>
    <w:p>
      <w:pPr>
        <w:pStyle w:val="Compact"/>
        <w:numPr>
          <w:ilvl w:val="0"/>
          <w:numId w:val="3"/>
        </w:numPr>
        <w:rPr/>
      </w:pPr>
      <w:r>
        <w:rPr/>
        <w:t>Additional robustness exposures:</w:t>
      </w:r>
    </w:p>
    <w:p>
      <w:pPr>
        <w:pStyle w:val="Compact"/>
        <w:numPr>
          <w:ilvl w:val="0"/>
          <w:numId w:val="23"/>
        </w:numPr>
        <w:rPr/>
      </w:pPr>
      <w:r>
        <w:rPr/>
        <w:t>Border-type indicators (</w:t>
      </w:r>
      <w:r>
        <w:rPr>
          <w:rStyle w:val="VerbatimChar"/>
        </w:rPr>
        <w:t>TX-MX</w:t>
      </w:r>
      <w:r>
        <w:rPr/>
        <w:t xml:space="preserve">, </w:t>
      </w:r>
      <w:r>
        <w:rPr>
          <w:rStyle w:val="VerbatimChar"/>
        </w:rPr>
        <w:t>TX-NM</w:t>
      </w:r>
      <w:r>
        <w:rPr/>
        <w:t xml:space="preserve">, </w:t>
      </w:r>
      <w:r>
        <w:rPr>
          <w:rStyle w:val="VerbatimChar"/>
        </w:rPr>
        <w:t>TX-OK</w:t>
      </w:r>
      <w:r>
        <w:rPr/>
        <w:t xml:space="preserve">, </w:t>
      </w:r>
      <w:r>
        <w:rPr>
          <w:rStyle w:val="VerbatimChar"/>
        </w:rPr>
        <w:t>TX-LA</w:t>
      </w:r>
      <w:r>
        <w:rPr/>
        <w:t>)</w:t>
      </w:r>
    </w:p>
    <w:p>
      <w:pPr>
        <w:pStyle w:val="Compact"/>
        <w:numPr>
          <w:ilvl w:val="0"/>
          <w:numId w:val="1"/>
        </w:numPr>
        <w:rPr/>
      </w:pPr>
      <w:r>
        <w:rPr/>
        <w:t>Continuous exposure share:</w:t>
      </w:r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h</m:t>
          </m:r>
          <m:r>
            <w:rPr>
              <w:rFonts w:ascii="Cambria Math" w:hAnsi="Cambria Math"/>
            </w:rPr>
            <m:t xml:space="preserve">a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B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r</m:t>
              </m:r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r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x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n</m:t>
              </m:r>
              <m:r>
                <w:rPr>
                  <w:rFonts w:ascii="Cambria Math" w:hAnsi="Cambria Math"/>
                </w:rPr>
                <m:t xml:space="preserve">s</m:t>
              </m:r>
              <m:r>
                <w:rPr>
                  <w:rFonts w:ascii="Cambria Math" w:hAnsi="Cambria Math"/>
                </w:rPr>
                <m:t xml:space="preserve">p</m:t>
              </m:r>
              <m:r>
                <w:rPr>
                  <w:rFonts w:ascii="Cambria Math" w:hAnsi="Cambria Math"/>
                </w:rPr>
                <m:t xml:space="preserve">e</m:t>
              </m:r>
              <m:r>
                <w:rPr>
                  <w:rFonts w:ascii="Cambria Math" w:hAnsi="Cambria Math"/>
                </w:rPr>
                <m:t xml:space="preserve">c</m:t>
              </m:r>
              <m:r>
                <w:rPr>
                  <w:rFonts w:ascii="Cambria Math" w:hAnsi="Cambria Math"/>
                </w:rPr>
                <m:t xml:space="preserve">t</m:t>
              </m:r>
              <m:r>
                <w:rPr>
                  <w:rFonts w:ascii="Cambria Math" w:hAnsi="Cambria Math"/>
                </w:rPr>
                <m:t xml:space="preserve">i</m:t>
              </m:r>
              <m:r>
                <w:rPr>
                  <w:rFonts w:ascii="Cambria Math" w:hAnsi="Cambria Math"/>
                </w:rPr>
                <m:t xml:space="preserve">o</m:t>
              </m:r>
              <m:r>
                <w:rPr>
                  <w:rFonts w:ascii="Cambria Math" w:hAnsi="Cambria Math"/>
                </w:rPr>
                <m:t xml:space="preserve">n</m:t>
              </m:r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den>
          </m:f>
        </m:oMath>
      </m:oMathPara>
    </w:p>
    <w:p>
      <w:pPr>
        <w:pStyle w:val="FirstParagraph"/>
        <w:rPr/>
      </w:pPr>
      <w:bookmarkStart w:id="11" w:name="exposure-definitions"/>
      <w:r>
        <w:rPr/>
        <w:t>3. Cutoff sensitivity with 25/75/100 km thresholds.</w:t>
      </w:r>
      <w:bookmarkEnd w:id="11"/>
    </w:p>
    <w:p>
      <w:pPr>
        <w:pStyle w:val="Heading2"/>
        <w:rPr/>
      </w:pPr>
      <w:bookmarkStart w:id="12" w:name="estimating-equations"/>
      <w:r>
        <w:rPr/>
        <w:t>Estimating Equations</w:t>
      </w:r>
    </w:p>
    <w:p>
      <w:pPr>
        <w:pStyle w:val="FirstParagraph"/>
        <w:rPr/>
      </w:pPr>
      <w:r>
        <w:rPr/>
        <w:t>RQ1 levels:</w:t>
      </w:r>
    </w:p>
    <w:p>
      <w:pPr>
        <w:pStyle w:val="BodyText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Y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α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β</m:t>
              </m:r>
            </m:e>
            <m:sub>
              <m:r>
                <w:rPr>
                  <w:rFonts w:ascii="Cambria Math" w:hAnsi="Cambria Math"/>
                </w:rPr>
                <m:t xml:space="preserve">1</m:t>
              </m:r>
            </m:sub>
          </m:sSub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β</m:t>
              </m:r>
            </m:e>
            <m:sub>
              <m:r>
                <w:rPr>
                  <w:rFonts w:ascii="Cambria Math" w:hAnsi="Cambria Math"/>
                </w:rPr>
                <m:t xml:space="preserve">2</m:t>
              </m:r>
            </m:sub>
          </m:sSub>
          <m:r>
            <w:rPr>
              <w:rFonts w:ascii="Cambria Math" w:hAnsi="Cambria Math"/>
            </w:rPr>
            <m:t xml:space="preserve">log</m:t>
          </m:r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U</m:t>
          </m:r>
          <m:r>
            <w:rPr>
              <w:rFonts w:ascii="Cambria Math" w:hAnsi="Cambria Math"/>
            </w:rPr>
            <m:t xml:space="preserve">n</m:t>
          </m:r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q</m:t>
          </m:r>
          <m:r>
            <w:rPr>
              <w:rFonts w:ascii="Cambria Math" w:hAnsi="Cambria Math"/>
            </w:rPr>
            <m:t xml:space="preserve">u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W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l</m:t>
          </m:r>
          <m:r>
            <w:rPr>
              <w:rFonts w:ascii="Cambria Math" w:hAnsi="Cambria Math"/>
            </w:rPr>
            <m:t xml:space="preserve">l</m:t>
          </m:r>
          <m:sSub>
            <m:e>
              <m:r>
                <w:rPr>
                  <w:rFonts w:ascii="Cambria Math" w:hAnsi="Cambria Math"/>
                </w:rPr>
                <m:t xml:space="preserve">s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γ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ε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</m:oMath>
      </m:oMathPara>
    </w:p>
    <w:p>
      <w:pPr>
        <w:pStyle w:val="FirstParagraph"/>
        <w:rPr/>
      </w:pPr>
      <w:r>
        <w:rPr/>
        <w:t>RQ2 FE interaction:</w:t>
      </w:r>
    </w:p>
    <w:p>
      <w:pPr>
        <w:pStyle w:val="BodyText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r>
                <w:rPr>
                  <w:rFonts w:ascii="Cambria Math" w:hAnsi="Cambria Math"/>
                </w:rPr>
                <m:t xml:space="preserve">Y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sSub>
            <m:e>
              <m:r>
                <w:rPr>
                  <w:rFonts w:ascii="Cambria Math" w:hAnsi="Cambria Math"/>
                </w:rPr>
                <m:t xml:space="preserve">α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γ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θ</m:t>
              </m:r>
            </m:e>
            <m:sub>
              <m:r>
                <w:rPr>
                  <w:rFonts w:ascii="Cambria Math" w:hAnsi="Cambria Math"/>
                </w:rPr>
                <m:t xml:space="preserve">1</m:t>
              </m:r>
            </m:sub>
          </m:sSub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2019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θ</m:t>
              </m:r>
            </m:e>
            <m:sub>
              <m:r>
                <w:rPr>
                  <w:rFonts w:ascii="Cambria Math" w:hAnsi="Cambria Math"/>
                </w:rPr>
                <m:t xml:space="preserve">2</m:t>
              </m:r>
            </m:sub>
          </m:sSub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sSub>
            <m:e>
              <m:r>
                <w:rPr>
                  <w:rFonts w:ascii="Cambria Math" w:hAnsi="Cambria Math"/>
                </w:rPr>
                <m:t xml:space="preserve">d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×</m:t>
          </m:r>
          <m:r>
            <w:rPr>
              <w:rFonts w:ascii="Cambria Math" w:hAnsi="Cambria Math"/>
            </w:rPr>
            <m:t xml:space="preserve">B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d</m:t>
          </m:r>
          <m:r>
            <w:rPr>
              <w:rFonts w:ascii="Cambria Math" w:hAnsi="Cambria Math"/>
            </w:rPr>
            <m:t xml:space="preserve">e</m:t>
          </m:r>
          <m:sSub>
            <m:e>
              <m:r>
                <w:rPr>
                  <w:rFonts w:ascii="Cambria Math" w:hAnsi="Cambria Math"/>
                </w:rPr>
                <m:t xml:space="preserve">r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</m:sub>
          </m:sSub>
          <m:r>
            <w:rPr>
              <w:rFonts w:ascii="Cambria Math" w:hAnsi="Cambria Math"/>
            </w:rPr>
            <m:t xml:space="preserve">)</m:t>
          </m:r>
          <m:r>
            <m:rPr>
              <m:lit/>
              <m:nor/>
            </m:rPr>
            <w:rPr>
              <w:rFonts w:ascii="Cambria Math" w:hAnsi="Cambria Math"/>
            </w:rPr>
            <m:t xml:space="preserve">+</m:t>
          </m:r>
          <m:sSub>
            <m:e>
              <m:r>
                <w:rPr>
                  <w:rFonts w:ascii="Cambria Math" w:hAnsi="Cambria Math"/>
                </w:rPr>
                <m:t xml:space="preserve">ε</m:t>
              </m:r>
            </m:e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</m:oMath>
      </m:oMathPara>
    </w:p>
    <w:p>
      <w:pPr>
        <w:pStyle w:val="FirstParagraph"/>
        <w:jc w:val="center"/>
        <w:rPr/>
      </w:pPr>
      <w:r>
        <w:rPr/>
      </w:r>
      <m:oMathPara xmlns:m="http://schemas.openxmlformats.org/officeDocument/2006/math">
        <m:oMathParaPr>
          <m:jc m:val="center"/>
        </m:oMathParaPr>
        <m:oMath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sSub>
            <m:e>
              <m:r>
                <w:rPr>
                  <w:rFonts w:ascii="Cambria Math" w:hAnsi="Cambria Math"/>
                </w:rPr>
                <m:t xml:space="preserve">2019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1</m:t>
          </m:r>
          <m:r>
            <w:rPr>
              <w:rFonts w:ascii="Cambria Math" w:hAnsi="Cambria Math"/>
            </w:rPr>
            <m:t xml:space="preserve">[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≥</m:t>
          </m:r>
          <m:r>
            <w:rPr>
              <w:rFonts w:ascii="Cambria Math" w:hAnsi="Cambria Math"/>
            </w:rPr>
            <m:t xml:space="preserve">2019</m:t>
          </m:r>
          <m:r>
            <w:rPr>
              <w:rFonts w:ascii="Cambria Math" w:hAnsi="Cambria Math"/>
            </w:rPr>
            <m:t xml:space="preserve">]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P</m:t>
          </m:r>
          <m:r>
            <w:rPr>
              <w:rFonts w:ascii="Cambria Math" w:hAnsi="Cambria Math"/>
            </w:rPr>
            <m:t xml:space="preserve">o</m:t>
          </m:r>
          <m:r>
            <w:rPr>
              <w:rFonts w:ascii="Cambria Math" w:hAnsi="Cambria Math"/>
            </w:rPr>
            <m:t xml:space="preserve">s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r</m:t>
          </m:r>
          <m:r>
            <w:rPr>
              <w:rFonts w:ascii="Cambria Math" w:hAnsi="Cambria Math"/>
            </w:rPr>
            <m:t xml:space="preserve">e</m:t>
          </m:r>
          <m:r>
            <w:rPr>
              <w:rFonts w:ascii="Cambria Math" w:hAnsi="Cambria Math"/>
            </w:rPr>
            <m:t xml:space="preserve">n</m:t>
          </m:r>
          <m:sSub>
            <m:e>
              <m:r>
                <w:rPr>
                  <w:rFonts w:ascii="Cambria Math" w:hAnsi="Cambria Math"/>
                </w:rPr>
                <m:t xml:space="preserve">d</m:t>
              </m:r>
            </m:e>
            <m:sub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max</m:t>
          </m:r>
          <m:r>
            <w:rPr>
              <w:rFonts w:ascii="Cambria Math" w:hAnsi="Cambria Math"/>
            </w:rPr>
            <m:t xml:space="preserve">(</m:t>
          </m:r>
          <m:r>
            <w:rPr>
              <w:rFonts w:ascii="Cambria Math" w:hAnsi="Cambria Math"/>
            </w:rPr>
            <m:t xml:space="preserve">0</m:t>
          </m:r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t</m:t>
          </m:r>
          <m:r>
            <w:rPr>
              <w:rFonts w:ascii="Cambria Math" w:hAnsi="Cambria Math"/>
            </w:rPr>
            <m:t xml:space="preserve">−</m:t>
          </m:r>
          <m:r>
            <w:rPr>
              <w:rFonts w:ascii="Cambria Math" w:hAnsi="Cambria Math"/>
            </w:rPr>
            <m:t xml:space="preserve">2019</m:t>
          </m:r>
          <m:r>
            <w:rPr>
              <w:rFonts w:ascii="Cambria Math" w:hAnsi="Cambria Math"/>
            </w:rPr>
            <m:t xml:space="preserve">)</m:t>
          </m:r>
        </m:oMath>
      </m:oMathPara>
    </w:p>
    <w:p>
      <w:pPr>
        <w:pStyle w:val="FirstParagraph"/>
        <w:rPr/>
      </w:pPr>
      <w:bookmarkStart w:id="13" w:name="estimating-equations"/>
      <w:r>
        <w:rPr/>
        <w:t>Inference uses district-clustered standard errors (13 clusters), with emphasis on effect size and consistency across specifications.</w:t>
      </w:r>
      <w:bookmarkEnd w:id="13"/>
    </w:p>
    <w:p>
      <w:pPr>
        <w:pStyle w:val="Heading2"/>
        <w:rPr/>
      </w:pPr>
      <w:bookmarkStart w:id="14" w:name="tests-run-in-notebook"/>
      <w:r>
        <w:rPr/>
        <w:t>Tests Run in Notebook</w:t>
      </w:r>
    </w:p>
    <w:p>
      <w:pPr>
        <w:pStyle w:val="FirstParagraph"/>
        <w:rPr/>
      </w:pPr>
      <w:r>
        <w:rPr/>
        <w:t>The notebook estimated the following test families:</w:t>
      </w:r>
    </w:p>
    <w:p>
      <w:pPr>
        <w:pStyle w:val="Compact"/>
        <w:numPr>
          <w:ilvl w:val="0"/>
          <w:numId w:val="24"/>
        </w:numPr>
        <w:rPr/>
      </w:pPr>
      <w:r>
        <w:rPr/>
        <w:t>Descriptive border-gap tests:</w:t>
      </w:r>
    </w:p>
    <w:p>
      <w:pPr>
        <w:pStyle w:val="Compact"/>
        <w:numPr>
          <w:ilvl w:val="1"/>
          <w:numId w:val="3"/>
        </w:numPr>
        <w:rPr/>
      </w:pPr>
      <w:r>
        <w:rPr/>
        <w:t>Border vs non-border means for inspection intensity, violations per inspection, days to enforcement, and resolution rate.</w:t>
      </w:r>
    </w:p>
    <w:p>
      <w:pPr>
        <w:pStyle w:val="Compact"/>
        <w:numPr>
          <w:ilvl w:val="0"/>
          <w:numId w:val="1"/>
        </w:numPr>
        <w:rPr/>
      </w:pPr>
      <w:r>
        <w:rPr/>
        <w:t>RQ1 levels regressions (border gaps):</w:t>
      </w:r>
    </w:p>
    <w:p>
      <w:pPr>
        <w:pStyle w:val="Compact"/>
        <w:numPr>
          <w:ilvl w:val="1"/>
          <w:numId w:val="3"/>
        </w:numPr>
        <w:rPr/>
      </w:pPr>
      <w:r>
        <w:rPr/>
        <w:t xml:space="preserve">Outcomes: </w:t>
      </w:r>
      <w:r>
        <w:rPr>
          <w:rStyle w:val="VerbatimChar"/>
        </w:rPr>
        <w:t>inspection_intensity</w:t>
      </w:r>
      <w:r>
        <w:rPr/>
        <w:t xml:space="preserve">, </w:t>
      </w:r>
      <w:r>
        <w:rPr>
          <w:rStyle w:val="VerbatimChar"/>
        </w:rPr>
        <w:t>violations_per_inspection</w:t>
      </w:r>
      <w:r>
        <w:rPr/>
        <w:t>.</w:t>
      </w:r>
    </w:p>
    <w:p>
      <w:pPr>
        <w:pStyle w:val="Compact"/>
        <w:numPr>
          <w:ilvl w:val="1"/>
          <w:numId w:val="3"/>
        </w:numPr>
        <w:rPr/>
      </w:pPr>
      <w:r>
        <w:rPr/>
        <w:t xml:space="preserve">Specification: </w:t>
      </w:r>
      <w:r>
        <w:rPr>
          <w:rStyle w:val="VerbatimChar"/>
        </w:rPr>
        <w:t>border_district + log_unique_wells + C(year)</w:t>
      </w:r>
      <w:r>
        <w:rPr/>
        <w:t>.</w:t>
      </w:r>
    </w:p>
    <w:p>
      <w:pPr>
        <w:pStyle w:val="Compact"/>
        <w:numPr>
          <w:ilvl w:val="0"/>
          <w:numId w:val="1"/>
        </w:numPr>
        <w:rPr/>
      </w:pPr>
      <w:r>
        <w:rPr/>
        <w:t>RQ2 FE interaction regressions (post-2019 heterogeneity):</w:t>
      </w:r>
    </w:p>
    <w:p>
      <w:pPr>
        <w:pStyle w:val="Compact"/>
        <w:numPr>
          <w:ilvl w:val="1"/>
          <w:numId w:val="3"/>
        </w:numPr>
        <w:rPr/>
      </w:pPr>
      <w:r>
        <w:rPr/>
        <w:t xml:space="preserve">Outcomes: </w:t>
      </w:r>
      <w:r>
        <w:rPr>
          <w:rStyle w:val="VerbatimChar"/>
        </w:rPr>
        <w:t>inspection_intensity</w:t>
      </w:r>
      <w:r>
        <w:rPr/>
        <w:t xml:space="preserve">, </w:t>
      </w:r>
      <w:r>
        <w:rPr>
          <w:rStyle w:val="VerbatimChar"/>
        </w:rPr>
        <w:t>violations_per_inspection</w:t>
      </w:r>
      <w:r>
        <w:rPr/>
        <w:t xml:space="preserve">, </w:t>
      </w:r>
      <w:r>
        <w:rPr>
          <w:rStyle w:val="VerbatimChar"/>
        </w:rPr>
        <w:t>avg_days_to_enforcement</w:t>
      </w:r>
      <w:r>
        <w:rPr/>
        <w:t xml:space="preserve">, </w:t>
      </w:r>
      <w:r>
        <w:rPr>
          <w:rStyle w:val="VerbatimChar"/>
        </w:rPr>
        <w:t>resolution_rate</w:t>
      </w:r>
      <w:r>
        <w:rPr/>
        <w:t>.</w:t>
      </w:r>
    </w:p>
    <w:p>
      <w:pPr>
        <w:pStyle w:val="Compact"/>
        <w:numPr>
          <w:ilvl w:val="1"/>
          <w:numId w:val="3"/>
        </w:numPr>
        <w:rPr/>
      </w:pPr>
      <w:r>
        <w:rPr/>
        <w:t xml:space="preserve">Specification: </w:t>
      </w:r>
      <w:r>
        <w:rPr>
          <w:rStyle w:val="VerbatimChar"/>
        </w:rPr>
        <w:t>C(district) + C(year) + post_2019:border_district + post_trend:border_district</w:t>
      </w:r>
      <w:r>
        <w:rPr/>
        <w:t>.</w:t>
      </w:r>
    </w:p>
    <w:p>
      <w:pPr>
        <w:pStyle w:val="Compact"/>
        <w:numPr>
          <w:ilvl w:val="0"/>
          <w:numId w:val="1"/>
        </w:numPr>
        <w:rPr/>
      </w:pPr>
      <w:r>
        <w:rPr/>
        <w:t>Border-type robustness tests:</w:t>
      </w:r>
    </w:p>
    <w:p>
      <w:pPr>
        <w:pStyle w:val="Compact"/>
        <w:numPr>
          <w:ilvl w:val="1"/>
          <w:numId w:val="3"/>
        </w:numPr>
        <w:rPr/>
      </w:pPr>
      <w:r>
        <w:rPr/>
        <w:t xml:space="preserve">District profiles for </w:t>
      </w:r>
      <w:r>
        <w:rPr>
          <w:rStyle w:val="VerbatimChar"/>
        </w:rPr>
        <w:t>TX-MX</w:t>
      </w:r>
      <w:r>
        <w:rPr/>
        <w:t xml:space="preserve">, </w:t>
      </w:r>
      <w:r>
        <w:rPr>
          <w:rStyle w:val="VerbatimChar"/>
        </w:rPr>
        <w:t>TX-NM</w:t>
      </w:r>
      <w:r>
        <w:rPr/>
        <w:t xml:space="preserve">, </w:t>
      </w:r>
      <w:r>
        <w:rPr>
          <w:rStyle w:val="VerbatimChar"/>
        </w:rPr>
        <w:t>TX-OK</w:t>
      </w:r>
      <w:r>
        <w:rPr/>
        <w:t xml:space="preserve">, </w:t>
      </w:r>
      <w:r>
        <w:rPr>
          <w:rStyle w:val="VerbatimChar"/>
        </w:rPr>
        <w:t>TX-LA</w:t>
      </w:r>
      <w:r>
        <w:rPr/>
        <w:t xml:space="preserve"> exposure.</w:t>
      </w:r>
    </w:p>
    <w:p>
      <w:pPr>
        <w:pStyle w:val="Compact"/>
        <w:numPr>
          <w:ilvl w:val="1"/>
          <w:numId w:val="3"/>
        </w:numPr>
        <w:rPr/>
      </w:pPr>
      <w:r>
        <w:rPr/>
        <w:t xml:space="preserve">RQ1-style levels with </w:t>
      </w:r>
      <w:r>
        <w:rPr>
          <w:rStyle w:val="VerbatimChar"/>
        </w:rPr>
        <w:t>has_tx_*</w:t>
      </w:r>
      <w:r>
        <w:rPr/>
        <w:t xml:space="preserve"> indicators.</w:t>
      </w:r>
    </w:p>
    <w:p>
      <w:pPr>
        <w:pStyle w:val="Compact"/>
        <w:numPr>
          <w:ilvl w:val="1"/>
          <w:numId w:val="3"/>
        </w:numPr>
        <w:rPr/>
      </w:pPr>
      <w:r>
        <w:rPr/>
        <w:t xml:space="preserve">RQ2-style FE interactions with </w:t>
      </w:r>
      <w:r>
        <w:rPr>
          <w:rStyle w:val="VerbatimChar"/>
        </w:rPr>
        <w:t>post_2019:has_tx_*</w:t>
      </w:r>
      <w:r>
        <w:rPr/>
        <w:t xml:space="preserve"> and </w:t>
      </w:r>
      <w:r>
        <w:rPr>
          <w:rStyle w:val="VerbatimChar"/>
        </w:rPr>
        <w:t>post_trend:has_tx_*</w:t>
      </w:r>
      <w:r>
        <w:rPr/>
        <w:t>.</w:t>
      </w:r>
    </w:p>
    <w:p>
      <w:pPr>
        <w:pStyle w:val="Compact"/>
        <w:numPr>
          <w:ilvl w:val="0"/>
          <w:numId w:val="1"/>
        </w:numPr>
        <w:rPr/>
      </w:pPr>
      <w:r>
        <w:rPr/>
        <w:t>Continuous-exposure robustness tests:</w:t>
      </w:r>
    </w:p>
    <w:p>
      <w:pPr>
        <w:pStyle w:val="Compact"/>
        <w:numPr>
          <w:ilvl w:val="1"/>
          <w:numId w:val="3"/>
        </w:numPr>
        <w:rPr/>
      </w:pPr>
      <w:r>
        <w:rPr/>
        <w:t xml:space="preserve">Replace binary border indicator with </w:t>
      </w:r>
      <w:r>
        <w:rPr>
          <w:rStyle w:val="VerbatimChar"/>
        </w:rPr>
        <w:t>share_border_exposed_insp</w:t>
      </w:r>
      <w:r>
        <w:rPr/>
        <w:t xml:space="preserve"> in both RQ1-style and RQ2-style specifications.</w:t>
      </w:r>
    </w:p>
    <w:p>
      <w:pPr>
        <w:pStyle w:val="Compact"/>
        <w:numPr>
          <w:ilvl w:val="0"/>
          <w:numId w:val="1"/>
        </w:numPr>
        <w:rPr/>
      </w:pPr>
      <w:r>
        <w:rPr/>
        <w:t>Cutoff-sensitivity tests:</w:t>
      </w:r>
    </w:p>
    <w:p>
      <w:pPr>
        <w:pStyle w:val="Compact"/>
        <w:numPr>
          <w:ilvl w:val="1"/>
          <w:numId w:val="3"/>
        </w:numPr>
        <w:rPr/>
      </w:pPr>
      <w:r>
        <w:rPr/>
        <w:t>Recompute proximity exposure from minimum distance to any border at 25 km, 75 km, and 100 km.</w:t>
      </w:r>
    </w:p>
    <w:p>
      <w:pPr>
        <w:pStyle w:val="Compact"/>
        <w:numPr>
          <w:ilvl w:val="1"/>
          <w:numId w:val="3"/>
        </w:numPr>
        <w:rPr/>
      </w:pPr>
      <w:r>
        <w:rPr/>
        <w:t>Estimate RQ1-style models for inspection intensity and RQ2-style timing interaction models.</w:t>
      </w:r>
    </w:p>
    <w:p>
      <w:pPr>
        <w:pStyle w:val="Compact"/>
        <w:numPr>
          <w:ilvl w:val="0"/>
          <w:numId w:val="1"/>
        </w:numPr>
        <w:rPr/>
      </w:pPr>
      <w:r>
        <w:rPr/>
        <w:t>Visualization and reporting tests:</w:t>
      </w:r>
    </w:p>
    <w:p>
      <w:pPr>
        <w:pStyle w:val="Compact"/>
        <w:numPr>
          <w:ilvl w:val="1"/>
          <w:numId w:val="3"/>
        </w:numPr>
        <w:rPr/>
      </w:pPr>
      <w:r>
        <w:rPr/>
        <w:t>Border/non-border trend plots.</w:t>
      </w:r>
    </w:p>
    <w:p>
      <w:pPr>
        <w:pStyle w:val="Compact"/>
        <w:numPr>
          <w:ilvl w:val="1"/>
          <w:numId w:val="3"/>
        </w:numPr>
        <w:rPr/>
      </w:pPr>
      <w:r>
        <w:rPr/>
        <w:t>Main timing figure with district-year group means and 95% confidence intervals.</w:t>
      </w:r>
    </w:p>
    <w:p>
      <w:pPr>
        <w:pStyle w:val="Compact"/>
        <w:numPr>
          <w:ilvl w:val="0"/>
          <w:numId w:val="1"/>
        </w:numPr>
        <w:rPr/>
      </w:pPr>
      <w:r>
        <w:rPr/>
        <w:t>Competition/reaction-function scaffolding (not estimated as causal model):</w:t>
      </w:r>
    </w:p>
    <w:p>
      <w:pPr>
        <w:pStyle w:val="Compact"/>
        <w:numPr>
          <w:ilvl w:val="1"/>
          <w:numId w:val="3"/>
        </w:numPr>
        <w:rPr/>
      </w:pPr>
      <w:bookmarkStart w:id="15" w:name="methods"/>
      <w:bookmarkStart w:id="16" w:name="tests-run-in-notebook"/>
      <w:r>
        <w:rPr/>
        <w:t>District-to-competitor jurisdiction link table and template generated for future interstate stringency integration.</w:t>
      </w:r>
      <w:bookmarkEnd w:id="15"/>
      <w:bookmarkEnd w:id="16"/>
    </w:p>
    <w:p>
      <w:pPr>
        <w:pStyle w:val="Heading1"/>
        <w:rPr/>
      </w:pPr>
      <w:bookmarkStart w:id="17" w:name="analysis"/>
      <w:r>
        <w:rPr/>
        <w:t>Analysis</w:t>
      </w:r>
    </w:p>
    <w:p>
      <w:pPr>
        <w:pStyle w:val="Heading2"/>
        <w:rPr/>
      </w:pPr>
      <w:bookmarkStart w:id="18" w:name="descriptive-border-gaps"/>
      <w:r>
        <w:rPr/>
        <w:t>Descriptive Border Gaps</w:t>
      </w:r>
    </w:p>
    <w:tbl>
      <w:tblPr>
        <w:tblStyle w:val="Table"/>
        <w:tblW w:w="79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2640"/>
        <w:gridCol w:w="2640"/>
        <w:gridCol w:w="2640"/>
      </w:tblGrid>
      <w:tr>
        <w:trPr>
          <w:tblHeader w:val="true"/>
        </w:trPr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Outcome</w:t>
            </w:r>
          </w:p>
        </w:tc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Non-border</w:t>
            </w:r>
          </w:p>
        </w:tc>
        <w:tc>
          <w:tcPr>
            <w:tcW w:w="26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Border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Inspection intensity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1.515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1.329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Violations per inspection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0.098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0.130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Mean days to enforcement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122.8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145.2</w:t>
            </w:r>
          </w:p>
        </w:tc>
      </w:tr>
      <w:tr>
        <w:trPr/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Mean resolution rate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0.596</w:t>
            </w:r>
          </w:p>
        </w:tc>
        <w:tc>
          <w:tcPr>
            <w:tcW w:w="26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0.543</w:t>
            </w:r>
          </w:p>
        </w:tc>
      </w:tr>
    </w:tbl>
    <w:p>
      <w:pPr>
        <w:pStyle w:val="BodyText"/>
        <w:rPr/>
      </w:pPr>
      <w:bookmarkStart w:id="19" w:name="descriptive-border-gaps"/>
      <w:r>
        <w:rPr/>
        <w:t>Descriptively, border districts show weaker enforcement conditions across coverage, detection conditional on inspection, timing, and follow-through.</w:t>
      </w:r>
      <w:bookmarkEnd w:id="19"/>
    </w:p>
    <w:p>
      <w:pPr>
        <w:pStyle w:val="Heading2"/>
        <w:rPr/>
      </w:pPr>
      <w:bookmarkStart w:id="20" w:name="main-regression-evidence"/>
      <w:r>
        <w:rPr/>
        <w:t>Main Regression Evidence</w:t>
      </w:r>
    </w:p>
    <w:tbl>
      <w:tblPr>
        <w:tblStyle w:val="Tabl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5850"/>
        <w:gridCol w:w="1440"/>
        <w:gridCol w:w="1260"/>
        <w:gridCol w:w="810"/>
      </w:tblGrid>
      <w:tr>
        <w:trPr>
          <w:tblHeader w:val="true"/>
        </w:trPr>
        <w:tc>
          <w:tcPr>
            <w:tcW w:w="585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Model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Coefficient</w:t>
            </w:r>
          </w:p>
        </w:tc>
        <w:tc>
          <w:tcPr>
            <w:tcW w:w="126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p-value</w:t>
            </w:r>
          </w:p>
        </w:tc>
        <w:tc>
          <w:tcPr>
            <w:tcW w:w="81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</w:t>
            </w:r>
          </w:p>
        </w:tc>
      </w:tr>
      <w:tr>
        <w:trPr/>
        <w:tc>
          <w:tcPr>
            <w:tcW w:w="585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RQ1: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border_district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on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inspection_intensity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-0.1755</w:t>
            </w:r>
          </w:p>
        </w:tc>
        <w:tc>
          <w:tcPr>
            <w:tcW w:w="12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0.0999</w:t>
            </w:r>
          </w:p>
        </w:tc>
        <w:tc>
          <w:tcPr>
            <w:tcW w:w="81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585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RQ1: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border_district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on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violations_per_inspection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0.0434</w:t>
            </w:r>
          </w:p>
        </w:tc>
        <w:tc>
          <w:tcPr>
            <w:tcW w:w="12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0.0949</w:t>
            </w:r>
          </w:p>
        </w:tc>
        <w:tc>
          <w:tcPr>
            <w:tcW w:w="81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585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RQ2: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post_2019:border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on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inspection_intensity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-0.1191</w:t>
            </w:r>
          </w:p>
        </w:tc>
        <w:tc>
          <w:tcPr>
            <w:tcW w:w="12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0.0753</w:t>
            </w:r>
          </w:p>
        </w:tc>
        <w:tc>
          <w:tcPr>
            <w:tcW w:w="81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585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RQ2: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post_2019:border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on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violations_per_inspection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0.0040</w:t>
            </w:r>
          </w:p>
        </w:tc>
        <w:tc>
          <w:tcPr>
            <w:tcW w:w="12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0.8881</w:t>
            </w:r>
          </w:p>
        </w:tc>
        <w:tc>
          <w:tcPr>
            <w:tcW w:w="81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585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RQ2: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post_2019:border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on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avg_days_to_enforcement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-74.5893</w:t>
            </w:r>
          </w:p>
        </w:tc>
        <w:tc>
          <w:tcPr>
            <w:tcW w:w="12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0.0156</w:t>
            </w:r>
          </w:p>
        </w:tc>
        <w:tc>
          <w:tcPr>
            <w:tcW w:w="81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  <w:tr>
        <w:trPr/>
        <w:tc>
          <w:tcPr>
            <w:tcW w:w="585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RQ2: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post_2019:border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on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resolution_rate</w:t>
            </w:r>
          </w:p>
        </w:tc>
        <w:tc>
          <w:tcPr>
            <w:tcW w:w="144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0.0404</w:t>
            </w:r>
          </w:p>
        </w:tc>
        <w:tc>
          <w:tcPr>
            <w:tcW w:w="126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0.4520</w:t>
            </w:r>
          </w:p>
        </w:tc>
        <w:tc>
          <w:tcPr>
            <w:tcW w:w="810" w:type="dxa"/>
            <w:tcBorders/>
          </w:tcPr>
          <w:p>
            <w:pPr>
              <w:pStyle w:val="Compact"/>
              <w:widowControl/>
              <w:spacing w:before="36" w:after="36"/>
              <w:jc w:val="righ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143</w:t>
            </w:r>
          </w:p>
        </w:tc>
      </w:tr>
    </w:tbl>
    <w:p>
      <w:pPr>
        <w:pStyle w:val="BodyText"/>
        <w:rPr/>
      </w:pPr>
      <w:bookmarkStart w:id="21" w:name="analysis"/>
      <w:bookmarkStart w:id="22" w:name="main-regression-evidence"/>
      <w:r>
        <w:rPr/>
        <w:t>The most stable differential post-2019 effect is a border-specific improvement in enforcement timing.</w:t>
      </w:r>
      <w:bookmarkEnd w:id="21"/>
      <w:bookmarkEnd w:id="22"/>
    </w:p>
    <w:p>
      <w:pPr>
        <w:pStyle w:val="Heading1"/>
        <w:rPr/>
      </w:pPr>
      <w:bookmarkStart w:id="23" w:name="results"/>
      <w:r>
        <w:rPr/>
        <w:t>Results</w:t>
      </w:r>
    </w:p>
    <w:p>
      <w:pPr>
        <w:pStyle w:val="Heading2"/>
        <w:rPr/>
      </w:pPr>
      <w:bookmarkStart w:id="24" w:name="hypothesis-tests"/>
      <w:r>
        <w:rPr/>
        <w:t>Hypothesis Tests</w:t>
      </w:r>
    </w:p>
    <w:tbl>
      <w:tblPr>
        <w:tblStyle w:val="Table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20" w:noHBand="0" w:noVBand="0" w:firstColumn="0" w:lastRow="0" w:lastColumn="0" w:firstRow="1"/>
      </w:tblPr>
      <w:tblGrid>
        <w:gridCol w:w="3120"/>
        <w:gridCol w:w="3120"/>
        <w:gridCol w:w="3120"/>
      </w:tblGrid>
      <w:tr>
        <w:trPr>
          <w:tblHeader w:val="true"/>
        </w:trPr>
        <w:tc>
          <w:tcPr>
            <w:tcW w:w="312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Hypothesis</w:t>
            </w:r>
          </w:p>
        </w:tc>
        <w:tc>
          <w:tcPr>
            <w:tcW w:w="312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Test evidence</w:t>
            </w:r>
          </w:p>
        </w:tc>
        <w:tc>
          <w:tcPr>
            <w:tcW w:w="3120" w:type="dxa"/>
            <w:tcBorders>
              <w:bottom w:val="single" w:sz="6" w:space="0" w:color="000000"/>
            </w:tcBorders>
            <w:vAlign w:val="bottom"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Decision (current run)</w:t>
            </w:r>
          </w:p>
        </w:tc>
      </w:tr>
      <w:tr>
        <w:trPr/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H1: Border districts have lower inspection intensity</w:t>
            </w:r>
          </w:p>
        </w:tc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RQ1: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border_district -&gt; inspection_intensity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= -0.1755, p = 0.0999; descriptives 1.329 (border) vs 1.515 (non-border)</w:t>
            </w:r>
          </w:p>
        </w:tc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Partial support</w:t>
            </w:r>
          </w:p>
        </w:tc>
      </w:tr>
      <w:tr>
        <w:trPr/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H2: Border districts have weaker pipeline outcomes</w:t>
            </w:r>
          </w:p>
        </w:tc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Descriptives: 0.130 vs 0.098 violations/inspection, 145.2 vs 122.8 days, 0.543 vs 0.596 resolution; RQ1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border_district -&gt; violations_per_inspection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= 0.0434, p = 0.0949</w:t>
            </w:r>
          </w:p>
        </w:tc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Supported descriptively, mixed regression support</w:t>
            </w:r>
          </w:p>
        </w:tc>
      </w:tr>
      <w:tr>
        <w:trPr/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H3: Border-specific post-2019 level shift</w:t>
            </w:r>
          </w:p>
        </w:tc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RQ2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post_2019:border -&gt; avg_days_to_enforcement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= -74.5893, p = 0.0156; other outcomes null</w:t>
            </w:r>
          </w:p>
        </w:tc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Supported for timing only</w:t>
            </w:r>
          </w:p>
        </w:tc>
      </w:tr>
      <w:tr>
        <w:trPr/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H4: Border-specific post-2019 trend shift</w:t>
            </w:r>
          </w:p>
        </w:tc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RQ2 </w:t>
            </w:r>
            <w:r>
              <w:rPr>
                <w:rStyle w:val="VerbatimChar"/>
                <w:rFonts w:eastAsia="" w:cs="" w:ascii="Aptos" w:hAnsi="Aptos"/>
                <w:kern w:val="0"/>
                <w:szCs w:val="24"/>
                <w:lang w:val="en-US" w:eastAsia="zh-CN" w:bidi="ar-SA"/>
              </w:rPr>
              <w:t>post_trend:border</w:t>
            </w: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 xml:space="preserve"> terms: inspection p = 0.8181, violations p = 0.8350, timing p = 0.9252, resolution p = 0.3404</w:t>
            </w:r>
          </w:p>
        </w:tc>
        <w:tc>
          <w:tcPr>
            <w:tcW w:w="3120" w:type="dxa"/>
            <w:tcBorders/>
          </w:tcPr>
          <w:p>
            <w:pPr>
              <w:pStyle w:val="Compact"/>
              <w:widowControl/>
              <w:spacing w:before="36" w:after="36"/>
              <w:jc w:val="left"/>
              <w:rPr>
                <w:rFonts w:ascii="Aptos" w:hAnsi="Aptos" w:eastAsia="" w:cs="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" w:cs="" w:ascii="Aptos" w:hAnsi="Aptos"/>
                <w:kern w:val="0"/>
                <w:sz w:val="24"/>
                <w:szCs w:val="24"/>
                <w:lang w:val="en-US" w:eastAsia="zh-CN" w:bidi="ar-SA"/>
              </w:rPr>
              <w:t>Not supported in baseline model</w:t>
            </w:r>
          </w:p>
        </w:tc>
      </w:tr>
    </w:tbl>
    <w:p>
      <w:pPr>
        <w:pStyle w:val="BodyText"/>
        <w:rPr/>
      </w:pPr>
      <w:bookmarkStart w:id="25" w:name="hypothesis-tests"/>
      <w:r>
        <w:rPr/>
        <w:t>The hypothesis tests indicate the clearest inferential signal is a border-specific post-2019 timing level shift, consistent with “faster pipeline, not wider pipeline.”</w:t>
      </w:r>
      <w:bookmarkEnd w:id="25"/>
    </w:p>
    <w:p>
      <w:pPr>
        <w:pStyle w:val="Heading2"/>
        <w:rPr/>
      </w:pPr>
      <w:bookmarkStart w:id="26" w:name="figure-callouts"/>
      <w:r>
        <w:rPr/>
        <w:t>Figure Callouts</w:t>
      </w:r>
    </w:p>
    <w:p>
      <w:pPr>
        <w:pStyle w:val="FirstParagraph"/>
        <w:rPr/>
      </w:pPr>
      <w:r>
        <w:rPr/>
        <w:t xml:space="preserve">Figure 1 (group trends): </w:t>
      </w:r>
      <w:r>
        <w:rPr>
          <w:rStyle w:val="VerbatimChar"/>
        </w:rPr>
        <w:t>analysis/output_borderlands/border_vs_nonborder_trends.png</w:t>
      </w:r>
      <w:r>
        <w:rPr/>
        <w:br/>
        <w:t xml:space="preserve">Figure 2 (main timing figure with CI): </w:t>
      </w:r>
      <w:r>
        <w:rPr>
          <w:rStyle w:val="VerbatimChar"/>
        </w:rPr>
        <w:t>analysis/output_borderlands/money_plot_timing_border_prepost2019.png</w:t>
      </w:r>
    </w:p>
    <w:p>
      <w:pPr>
        <w:pStyle w:val="BodyText"/>
        <w:rPr/>
      </w:pPr>
      <w:r>
        <w:rPr/>
        <w:t>Figure 2 uses district-year means with equal district weighting:</w:t>
      </w:r>
    </w:p>
    <w:p>
      <w:pPr>
        <w:pStyle w:val="BodyText"/>
        <w:jc w:val="center"/>
        <w:rPr/>
      </w:pPr>
      <w:bookmarkStart w:id="27" w:name="results"/>
      <w:bookmarkStart w:id="28" w:name="figure-callouts"/>
      <w:r>
        <w:rPr/>
      </w:r>
      <m:oMathPara xmlns:m="http://schemas.openxmlformats.org/officeDocument/2006/math">
        <m:oMathParaPr>
          <m:jc m:val="center"/>
        </m:oMathParaPr>
        <m:oMath>
          <m:sSub>
            <m:e>
              <m:acc>
                <m:accPr>
                  <m:chr m:val="´"/>
                </m:accPr>
                <m:e>
                  <m:r>
                    <w:rPr>
                      <w:rFonts w:ascii="Cambria Math" w:hAnsi="Cambria Math"/>
                    </w:rPr>
                    <m:t xml:space="preserve">Y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 xml:space="preserve">g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f>
            <m:num>
              <m:r>
                <w:rPr>
                  <w:rFonts w:ascii="Cambria Math" w:hAnsi="Cambria Math"/>
                </w:rPr>
                <m:t xml:space="preserve">1</m:t>
              </m:r>
            </m:num>
            <m:den>
              <m:sSub>
                <m:e>
                  <m:r>
                    <w:rPr>
                      <w:rFonts w:ascii="Cambria Math" w:hAnsi="Cambria Math"/>
                    </w:rPr>
                    <m:t xml:space="preserve">n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g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den>
          </m:f>
          <m:nary>
            <m:naryPr>
              <m:chr m:val="∑"/>
              <m:supHide m:val="1"/>
            </m:naryPr>
            <m:sub>
              <m:r>
                <w:rPr>
                  <w:rFonts w:ascii="Cambria Math" w:hAnsi="Cambria Math"/>
                </w:rPr>
                <m:t xml:space="preserve">d</m:t>
              </m:r>
              <m:r>
                <w:rPr>
                  <w:rFonts w:ascii="Cambria Math" w:hAnsi="Cambria Math"/>
                </w:rPr>
                <m:t xml:space="preserve">∈</m:t>
              </m:r>
              <m:r>
                <w:rPr>
                  <w:rFonts w:ascii="Cambria Math" w:hAnsi="Cambria Math"/>
                </w:rPr>
                <m:t xml:space="preserve">g</m:t>
              </m:r>
            </m:sub>
            <m:sup/>
            <m:e>
              <m:sSub>
                <m:e>
                  <m:r>
                    <w:rPr>
                      <w:rFonts w:ascii="Cambria Math" w:hAnsi="Cambria Math"/>
                    </w:rPr>
                    <m:t xml:space="preserve">Y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d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e>
          </m:nary>
          <m:r>
            <w:rPr>
              <w:rFonts w:ascii="Cambria Math" w:hAnsi="Cambria Math"/>
            </w:rPr>
            <m:t xml:space="preserve">,</m:t>
          </m:r>
          <m:r>
            <w:rPr>
              <w:rFonts w:ascii="Cambria Math" w:hAnsi="Cambria Math"/>
            </w:rPr>
            <m:t xml:space="preserve">C</m:t>
          </m:r>
          <m:sSub>
            <m:e>
              <m:r>
                <w:rPr>
                  <w:rFonts w:ascii="Cambria Math" w:hAnsi="Cambria Math"/>
                </w:rPr>
                <m:t xml:space="preserve">I</m:t>
              </m:r>
            </m:e>
            <m:sub>
              <m:r>
                <w:rPr>
                  <w:rFonts w:ascii="Cambria Math" w:hAnsi="Cambria Math"/>
                </w:rPr>
                <m:t xml:space="preserve">95</m:t>
              </m:r>
              <m:r>
                <m:rPr>
                  <m:lit/>
                  <m:nor/>
                </m:rPr>
                <w:rPr>
                  <w:rFonts w:ascii="Cambria Math" w:hAnsi="Cambria Math"/>
                </w:rPr>
                <m:t xml:space="preserve">%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 xml:space="preserve">=</m:t>
          </m:r>
          <m:sSub>
            <m:e>
              <m:acc>
                <m:accPr>
                  <m:chr m:val="´"/>
                </m:accPr>
                <m:e>
                  <m:r>
                    <w:rPr>
                      <w:rFonts w:ascii="Cambria Math" w:hAnsi="Cambria Math"/>
                    </w:rPr>
                    <m:t xml:space="preserve">Y</m:t>
                  </m:r>
                </m:e>
              </m:acc>
            </m:e>
            <m:sub>
              <m:r>
                <w:rPr>
                  <w:rFonts w:ascii="Cambria Math" w:hAnsi="Cambria Math"/>
                </w:rPr>
                <m:t xml:space="preserve">g</m:t>
              </m:r>
              <m:r>
                <w:rPr>
                  <w:rFonts w:ascii="Cambria Math" w:hAnsi="Cambria Math"/>
                </w:rPr>
                <m:t xml:space="preserve">t</m:t>
              </m:r>
            </m:sub>
          </m:sSub>
          <m:r>
            <w:rPr>
              <w:rFonts w:ascii="Cambria Math" w:hAnsi="Cambria Math"/>
            </w:rPr>
            <m:t xml:space="preserve">±</m:t>
          </m:r>
          <m:r>
            <w:rPr>
              <w:rFonts w:ascii="Cambria Math" w:hAnsi="Cambria Math"/>
            </w:rPr>
            <m:t xml:space="preserve">1.96</m:t>
          </m:r>
          <m:r>
            <w:rPr>
              <w:rFonts w:ascii="Cambria Math" w:hAnsi="Cambria Math"/>
            </w:rPr>
            <m:t xml:space="preserve">⋅</m:t>
          </m:r>
          <m:f>
            <m:num>
              <m:sSub>
                <m:e>
                  <m:r>
                    <w:rPr>
                      <w:rFonts w:ascii="Cambria Math" w:hAnsi="Cambria Math"/>
                    </w:rPr>
                    <m:t xml:space="preserve">s</m:t>
                  </m:r>
                </m:e>
                <m:sub>
                  <m:r>
                    <w:rPr>
                      <w:rFonts w:ascii="Cambria Math" w:hAnsi="Cambria Math"/>
                    </w:rPr>
                    <m:t xml:space="preserve">g</m:t>
                  </m:r>
                  <m:r>
                    <w:rPr>
                      <w:rFonts w:ascii="Cambria Math" w:hAnsi="Cambria Math"/>
                    </w:rPr>
                    <m:t xml:space="preserve">t</m:t>
                  </m:r>
                </m:sub>
              </m:sSub>
            </m:num>
            <m:den>
              <m:rad>
                <m:radPr>
                  <m:degHide m:val="1"/>
                </m:radPr>
                <m:deg/>
                <m:e>
                  <m:sSub>
                    <m:e>
                      <m:r>
                        <w:rPr>
                          <w:rFonts w:ascii="Cambria Math" w:hAnsi="Cambria Math"/>
                        </w:rPr>
                        <m:t xml:space="preserve">n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 xml:space="preserve">g</m:t>
                      </m:r>
                      <m:r>
                        <w:rPr>
                          <w:rFonts w:ascii="Cambria Math" w:hAnsi="Cambria Math"/>
                        </w:rPr>
                        <m:t xml:space="preserve">t</m:t>
                      </m:r>
                    </m:sub>
                  </m:sSub>
                </m:e>
              </m:rad>
            </m:den>
          </m:f>
        </m:oMath>
      </m:oMathPara>
      <w:bookmarkEnd w:id="27"/>
      <w:bookmarkEnd w:id="28"/>
    </w:p>
    <w:p>
      <w:pPr>
        <w:pStyle w:val="Heading1"/>
        <w:rPr/>
      </w:pPr>
      <w:bookmarkStart w:id="29" w:name="discussion"/>
      <w:r>
        <w:rPr/>
        <w:t>Discussion</w:t>
      </w:r>
    </w:p>
    <w:p>
      <w:pPr>
        <w:pStyle w:val="FirstParagraph"/>
        <w:rPr/>
      </w:pPr>
      <w:r>
        <w:rPr/>
        <w:t>The findings are consistent with a transparency-throughput mechanism: disclosure-era pressure appears to accelerate processing where baseline constraints are stronger, but this does not map cleanly to expansion of enforcement reach or follow-through. The strongest claim supported by this design is “faster pipeline, not wider pipeline.”</w:t>
      </w:r>
    </w:p>
    <w:p>
      <w:pPr>
        <w:pStyle w:val="BodyText"/>
        <w:rPr/>
      </w:pPr>
      <w:r>
        <w:rPr/>
        <w:t>The contribution is a boundary condition argument: transparency reforms can produce uneven administrative effects across territorial governance contexts, with timing responsiveness exceeding capacity expansion.</w:t>
      </w:r>
    </w:p>
    <w:p>
      <w:pPr>
        <w:pStyle w:val="BodyText"/>
        <w:spacing w:before="180" w:after="180"/>
        <w:rPr/>
      </w:pPr>
      <w:bookmarkStart w:id="30" w:name="discussion"/>
      <w:r>
        <w:rPr/>
        <w:t>The design does not identify interstate strategic competition. A full Neil Woods-style test requires district-year competitor stringency series and explicit enforcement-gap dynamics. That’s the next step in the research agenda, but the current analysis provides a necessary first step by establishing the presence of border-specific enforcement gaps and their heterogeneous response to disclosure reform.</w:t>
      </w:r>
      <w:bookmarkEnd w:id="30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DejaVu Sans">
    <w:charset w:val="01"/>
    <w:family w:val="swiss"/>
    <w:pitch w:val="variable"/>
  </w:font>
  <w:font w:name="Aptos Display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6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/>
    </w:lvl>
  </w:abstractNum>
  <w:abstractNum w:abstractNumId="10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0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0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0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0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0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"/>
    <w:lvlOverride w:ilvl="0">
      <w:startOverride w:val="1"/>
    </w:lvlOverride>
  </w:num>
  <w:num w:numId="20">
    <w:abstractNumId w:val="1"/>
    <w:lvlOverride w:ilvl="0">
      <w:startOverride w:val="1"/>
    </w:lvlOverride>
  </w:num>
  <w:num w:numId="21">
    <w:abstractNumId w:val="1"/>
    <w:lvlOverride w:ilvl="0">
      <w:startOverride w:val="1"/>
    </w:lvlOverride>
  </w:num>
  <w:num w:numId="22">
    <w:abstractNumId w:val="1"/>
    <w:lvlOverride w:ilvl="0">
      <w:startOverride w:val="1"/>
    </w:lvlOverride>
  </w:num>
  <w:num w:numId="23">
    <w:abstractNumId w:val="1"/>
    <w:lvlOverride w:ilvl="0">
      <w:startOverride w:val="1"/>
    </w:lvlOverride>
  </w:num>
  <w:num w:numId="24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" w:cs="" w:asciiTheme="minorHAnsi" w:cstheme="minorBidi" w:eastAsiaTheme="minorEastAsia" w:hAnsiTheme="minorHAnsi"/>
        <w:sz w:val="24"/>
        <w:szCs w:val="24"/>
        <w:lang w:val="en-US" w:eastAsia="zh-CN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DejaVu Sans" w:hAnsi="DejaVu Sans" w:eastAsia="" w:cs="" w:cstheme="minorBidi" w:eastAsiaTheme="minorEastAsia"/>
      <w:color w:val="auto"/>
      <w:kern w:val="0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a10fd9"/>
    <w:rPr>
      <w:rFonts w:ascii="Aptos Display" w:hAnsi="Aptos Display" w:eastAsia="" w:cs="" w:asciiTheme="majorHAnsi" w:cstheme="majorBidi" w:eastAsiaTheme="majorEastAsia" w:hAnsiTheme="majorHAnsi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10fd9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a10fd9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10fd9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10fd9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10fd9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10fd9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10fd9"/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lineRule="auto" w:line="240" w:before="0" w:after="80"/>
      <w:contextualSpacing/>
      <w:jc w:val="center"/>
    </w:pPr>
    <w:rPr>
      <w:rFonts w:ascii="Aptos Display" w:hAnsi="Aptos Display" w:eastAsia="" w:cs="" w:asciiTheme="majorHAnsi" w:cstheme="majorBidi" w:eastAsiaTheme="majorEastAsia" w:hAnsiTheme="majorHAnsi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/>
    <w:rPr>
      <w:rFonts w:eastAsia="" w:cs="" w:cstheme="majorBidi" w:eastAsiaTheme="majorEastAsia"/>
      <w:spacing w:val="15"/>
      <w:sz w:val="28"/>
      <w:szCs w:val="28"/>
    </w:rPr>
  </w:style>
  <w:style w:type="paragraph" w:styleId="Author" w:customStyle="1">
    <w:name w:val="Author"/>
    <w:basedOn w:val="Title"/>
    <w:next w:val="BodyText"/>
    <w:qFormat/>
    <w:pPr>
      <w:keepNext w:val="true"/>
      <w:keepLines/>
    </w:pPr>
    <w:rPr>
      <w:sz w:val="24"/>
      <w:szCs w:val="24"/>
    </w:rPr>
  </w:style>
  <w:style w:type="paragraph" w:styleId="Date">
    <w:name w:val="Date"/>
    <w:basedOn w:val="Title"/>
    <w:next w:val="BodyText"/>
    <w:qFormat/>
    <w:pPr>
      <w:keepNext w:val="true"/>
      <w:keepLines/>
    </w:pPr>
    <w:rPr>
      <w:sz w:val="24"/>
      <w:szCs w:val="24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hanging="0" w:left="480" w:right="480"/>
    </w:pPr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80"/>
      <w:outlineLvl w:val="9"/>
    </w:pPr>
    <w:rPr>
      <w:rFonts w:ascii="Aptos Display" w:hAnsi="Aptos Display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LibreOffice/26.2.0.3$Linux_X86_64 LibreOffice_project/620$Build-3</Application>
  <AppVersion>15.0000</AppVersion>
  <Pages>6</Pages>
  <Words>1042</Words>
  <Characters>7358</Characters>
  <CharactersWithSpaces>8217</CharactersWithSpaces>
  <Paragraphs>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2026-02-21T17:09:08Z</dcterms:created>
  <dc:creator/>
  <dc:description/>
  <dc:language>en-US</dc:language>
  <cp:lastModifiedBy>David Adams</cp:lastModifiedBy>
  <dcterms:modified xsi:type="dcterms:W3CDTF">2026-02-21T09:10:00Z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