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keepNext w:val="true"/>
        <w:keepLines/>
        <w:spacing w:before="360" w:after="80"/>
        <w:rPr/>
      </w:pPr>
      <w:bookmarkStart w:id="0" w:name="appendix"/>
      <w:r>
        <w:rPr/>
        <w:t>Appendix</w:t>
      </w:r>
    </w:p>
    <w:p>
      <w:pPr>
        <w:pStyle w:val="Heading2"/>
        <w:rPr/>
      </w:pPr>
      <w:r>
        <w:rPr/>
        <w:t>A1. Data Construction and Scope</w:t>
      </w:r>
    </w:p>
    <w:p>
      <w:pPr>
        <w:pStyle w:val="Compact"/>
        <w:numPr>
          <w:ilvl w:val="0"/>
          <w:numId w:val="1"/>
        </w:numPr>
        <w:rPr/>
      </w:pPr>
      <w:r>
        <w:rPr/>
        <w:t>Analysis window: 2015-2025.</w:t>
      </w:r>
    </w:p>
    <w:p>
      <w:pPr>
        <w:pStyle w:val="Compact"/>
        <w:numPr>
          <w:ilvl w:val="0"/>
          <w:numId w:val="1"/>
        </w:numPr>
        <w:rPr/>
      </w:pPr>
      <w:r>
        <w:rPr/>
        <w:t>District-year panel size: 143 rows (13 districts x 11 years).</w:t>
      </w:r>
    </w:p>
    <w:p>
      <w:pPr>
        <w:pStyle w:val="Compact"/>
        <w:numPr>
          <w:ilvl w:val="0"/>
          <w:numId w:val="1"/>
        </w:numPr>
        <w:rPr/>
      </w:pPr>
      <w:r>
        <w:rPr/>
        <w:t xml:space="preserve">Primary identifiers: </w:t>
      </w:r>
      <w:r>
        <w:rPr>
          <w:rStyle w:val="VerbatimChar"/>
        </w:rPr>
        <w:t>api_norm</w:t>
      </w:r>
      <w:r>
        <w:rPr/>
        <w:t xml:space="preserve">, </w:t>
      </w:r>
      <w:r>
        <w:rPr>
          <w:rStyle w:val="VerbatimChar"/>
        </w:rPr>
        <w:t>district</w:t>
      </w:r>
      <w:r>
        <w:rPr/>
        <w:t xml:space="preserve">, </w:t>
      </w:r>
      <w:r>
        <w:rPr>
          <w:rStyle w:val="VerbatimChar"/>
        </w:rPr>
        <w:t>year</w:t>
      </w:r>
      <w:r>
        <w:rPr/>
        <w:t>.</w:t>
      </w:r>
    </w:p>
    <w:p>
      <w:pPr>
        <w:pStyle w:val="Compact"/>
        <w:numPr>
          <w:ilvl w:val="0"/>
          <w:numId w:val="1"/>
        </w:numPr>
        <w:rPr/>
      </w:pPr>
      <w:r>
        <w:rPr/>
        <w:t>Border geometry includes TX-MX plus TX-NM, TX-OK, TX-LA boundary proximity.</w:t>
      </w:r>
    </w:p>
    <w:p>
      <w:pPr>
        <w:pStyle w:val="Heading3"/>
        <w:rPr/>
      </w:pPr>
      <w:r>
        <w:rPr/>
        <w:t>Build validation counts</w:t>
      </w:r>
    </w:p>
    <w:tbl>
      <w:tblPr>
        <w:tblStyle w:val="Table"/>
        <w:tblW w:w="792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20" w:noHBand="0" w:noVBand="0" w:firstColumn="0" w:lastRow="0" w:lastColumn="0" w:firstRow="1"/>
      </w:tblPr>
      <w:tblGrid>
        <w:gridCol w:w="3960"/>
        <w:gridCol w:w="3960"/>
      </w:tblGrid>
      <w:tr>
        <w:trPr>
          <w:tblHeader w:val="true"/>
        </w:trPr>
        <w:tc>
          <w:tcPr>
            <w:tcW w:w="396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Metric</w:t>
            </w:r>
          </w:p>
        </w:tc>
        <w:tc>
          <w:tcPr>
            <w:tcW w:w="396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Value</w:t>
            </w:r>
          </w:p>
        </w:tc>
      </w:tr>
      <w:tr>
        <w:trPr/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Wells loaded</w:t>
            </w:r>
          </w:p>
        </w:tc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1,010,432</w:t>
            </w:r>
          </w:p>
        </w:tc>
      </w:tr>
      <w:tr>
        <w:trPr/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Inspections (2015-2025)</w:t>
            </w:r>
          </w:p>
        </w:tc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1,867,859</w:t>
            </w:r>
          </w:p>
        </w:tc>
      </w:tr>
      <w:tr>
        <w:trPr/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Violations (2015-2025)</w:t>
            </w:r>
          </w:p>
        </w:tc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191,762</w:t>
            </w:r>
          </w:p>
        </w:tc>
      </w:tr>
      <w:tr>
        <w:trPr/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Border-exposed wells (any 50 km border)</w:t>
            </w:r>
          </w:p>
        </w:tc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169,520</w:t>
            </w:r>
          </w:p>
        </w:tc>
      </w:tr>
      <w:tr>
        <w:trPr/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Panel observations</w:t>
            </w:r>
          </w:p>
        </w:tc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Districts</w:t>
            </w:r>
          </w:p>
        </w:tc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13</w:t>
            </w:r>
            <w:bookmarkStart w:id="1" w:name="build-validation-counts"/>
            <w:bookmarkEnd w:id="1"/>
          </w:p>
        </w:tc>
      </w:tr>
    </w:tbl>
    <w:p>
      <w:pPr>
        <w:pStyle w:val="Heading3"/>
        <w:rPr/>
      </w:pPr>
      <w:r>
        <w:rPr/>
        <w:t>Border subtype counts (50 km)</w:t>
      </w:r>
    </w:p>
    <w:tbl>
      <w:tblPr>
        <w:tblStyle w:val="Table"/>
        <w:tblW w:w="792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20" w:noHBand="0" w:noVBand="0" w:firstColumn="0" w:lastRow="0" w:lastColumn="0" w:firstRow="1"/>
      </w:tblPr>
      <w:tblGrid>
        <w:gridCol w:w="3960"/>
        <w:gridCol w:w="3960"/>
      </w:tblGrid>
      <w:tr>
        <w:trPr>
          <w:tblHeader w:val="true"/>
        </w:trPr>
        <w:tc>
          <w:tcPr>
            <w:tcW w:w="396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Border subtype</w:t>
            </w:r>
          </w:p>
        </w:tc>
        <w:tc>
          <w:tcPr>
            <w:tcW w:w="396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Wells</w:t>
            </w:r>
          </w:p>
        </w:tc>
      </w:tr>
      <w:tr>
        <w:trPr/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TX-MX</w:t>
            </w:r>
          </w:p>
        </w:tc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40,339</w:t>
            </w:r>
          </w:p>
        </w:tc>
      </w:tr>
      <w:tr>
        <w:trPr/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TX-NM</w:t>
            </w:r>
          </w:p>
        </w:tc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81,567</w:t>
            </w:r>
          </w:p>
        </w:tc>
      </w:tr>
      <w:tr>
        <w:trPr/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TX-OK</w:t>
            </w:r>
          </w:p>
        </w:tc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19,643</w:t>
            </w:r>
          </w:p>
        </w:tc>
      </w:tr>
      <w:tr>
        <w:trPr/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TX-LA</w:t>
            </w:r>
          </w:p>
        </w:tc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29,675</w:t>
            </w:r>
            <w:bookmarkStart w:id="2" w:name="a1.-data-construction-and-scope"/>
            <w:bookmarkEnd w:id="2"/>
          </w:p>
        </w:tc>
      </w:tr>
    </w:tbl>
    <w:p>
      <w:pPr>
        <w:pStyle w:val="Heading2"/>
        <w:rPr/>
      </w:pPr>
      <w:r>
        <w:rPr/>
        <w:t>A2. Supplementary Equations</w:t>
      </w:r>
    </w:p>
    <w:p>
      <w:pPr>
        <w:pStyle w:val="Heading3"/>
        <w:rPr/>
      </w:pPr>
      <w:bookmarkStart w:id="3" w:name="border-type-fe-interaction-model"/>
      <w:r>
        <w:rPr/>
        <w:t>Border-type FE interaction model</w:t>
      </w:r>
    </w:p>
    <w:p>
      <w:pPr>
        <w:pStyle w:val="FirstParagraph"/>
        <w:jc w:val="center"/>
        <w:rPr/>
      </w:pPr>
      <w:r>
        <w:rPr/>
      </w:r>
      <m:oMathPara xmlns:m="http://schemas.openxmlformats.org/officeDocument/2006/math">
        <m:oMathParaPr>
          <m:jc m:val="center"/>
        </m:oMathParaPr>
        <m:oMath>
          <m:sSub>
            <m:e>
              <m:r>
                <w:rPr>
                  <w:rFonts w:ascii="Cambria Math" w:hAnsi="Cambria Math"/>
                </w:rPr>
                <m:t xml:space="preserve">Y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=</m:t>
          </m:r>
          <m:sSub>
            <m:e>
              <m:r>
                <w:rPr>
                  <w:rFonts w:ascii="Cambria Math" w:hAnsi="Cambria Math"/>
                </w:rPr>
                <m:t xml:space="preserve">α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+</m:t>
          </m:r>
          <m:sSub>
            <m:e>
              <m:r>
                <w:rPr>
                  <w:rFonts w:ascii="Cambria Math" w:hAnsi="Cambria Math"/>
                </w:rPr>
                <m:t xml:space="preserve">γ</m:t>
              </m:r>
            </m:e>
            <m:sub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+</m:t>
          </m:r>
          <m:nary>
            <m:naryPr>
              <m:chr m:val="∑"/>
              <m:supHide m:val="1"/>
            </m:naryPr>
            <m:sub>
              <m:r>
                <w:rPr>
                  <w:rFonts w:ascii="Cambria Math" w:hAnsi="Cambria Math"/>
                </w:rPr>
                <m:t xml:space="preserve">k</m:t>
              </m:r>
            </m:sub>
            <m:sup/>
            <m:e>
              <m:sSub>
                <m:e>
                  <m:r>
                    <w:rPr>
                      <w:rFonts w:ascii="Cambria Math" w:hAnsi="Cambria Math"/>
                    </w:rPr>
                    <m:t xml:space="preserve">λ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k</m:t>
                  </m:r>
                </m:sub>
              </m:sSub>
            </m:e>
          </m:nary>
          <m:r>
            <w:rPr>
              <w:rFonts w:ascii="Cambria Math" w:hAnsi="Cambria Math"/>
            </w:rPr>
            <m:t xml:space="preserve">(</m:t>
          </m:r>
          <m:r>
            <w:rPr>
              <w:rFonts w:ascii="Cambria Math" w:hAnsi="Cambria Math"/>
            </w:rPr>
            <m:t xml:space="preserve">P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t</m:t>
          </m:r>
          <m:sSub>
            <m:e>
              <m:r>
                <w:rPr>
                  <w:rFonts w:ascii="Cambria Math" w:hAnsi="Cambria Math"/>
                </w:rPr>
                <m:t xml:space="preserve">2019</m:t>
              </m:r>
            </m:e>
            <m:sub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w:rPr>
              <w:rFonts w:ascii="Cambria Math" w:hAnsi="Cambria Math"/>
            </w:rPr>
            <m:t xml:space="preserve">×</m:t>
          </m:r>
          <m:r>
            <w:rPr>
              <w:rFonts w:ascii="Cambria Math" w:hAnsi="Cambria Math"/>
            </w:rPr>
            <m:t xml:space="preserve">T</m:t>
          </m:r>
          <m:r>
            <w:rPr>
              <w:rFonts w:ascii="Cambria Math" w:hAnsi="Cambria Math"/>
            </w:rPr>
            <m:t xml:space="preserve">y</m:t>
          </m:r>
          <m:r>
            <w:rPr>
              <w:rFonts w:ascii="Cambria Math" w:hAnsi="Cambria Math"/>
            </w:rPr>
            <m:t xml:space="preserve">p</m:t>
          </m:r>
          <m:sSub>
            <m:e>
              <m:r>
                <w:rPr>
                  <w:rFonts w:ascii="Cambria Math" w:hAnsi="Cambria Math"/>
                </w:rPr>
                <m:t xml:space="preserve">e</m:t>
              </m:r>
            </m:e>
            <m:sub>
              <m:r>
                <w:rPr>
                  <w:rFonts w:ascii="Cambria Math" w:hAnsi="Cambria Math"/>
                </w:rPr>
                <m:t xml:space="preserve">k</m:t>
              </m:r>
              <m:r>
                <w:rPr>
                  <w:rFonts w:ascii="Cambria Math" w:hAnsi="Cambria Math"/>
                </w:rPr>
                <m:t xml:space="preserve">d</m:t>
              </m:r>
            </m:sub>
          </m:sSub>
          <m:r>
            <w:rPr>
              <w:rFonts w:ascii="Cambria Math" w:hAnsi="Cambria Math"/>
            </w:rPr>
            <m:t xml:space="preserve">)</m:t>
          </m:r>
          <m:r>
            <m:rPr>
              <m:lit/>
              <m:nor/>
            </m:rPr>
            <w:rPr>
              <w:rFonts w:ascii="Cambria Math" w:hAnsi="Cambria Math"/>
            </w:rPr>
            <m:t xml:space="preserve">+</m:t>
          </m:r>
          <m:nary>
            <m:naryPr>
              <m:chr m:val="∑"/>
              <m:supHide m:val="1"/>
            </m:naryPr>
            <m:sub>
              <m:r>
                <w:rPr>
                  <w:rFonts w:ascii="Cambria Math" w:hAnsi="Cambria Math"/>
                </w:rPr>
                <m:t xml:space="preserve">k</m:t>
              </m:r>
            </m:sub>
            <m:sup/>
            <m:e>
              <m:sSub>
                <m:e>
                  <m:r>
                    <w:rPr>
                      <w:rFonts w:ascii="Cambria Math" w:hAnsi="Cambria Math"/>
                    </w:rPr>
                    <m:t xml:space="preserve">ϕ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k</m:t>
                  </m:r>
                </m:sub>
              </m:sSub>
            </m:e>
          </m:nary>
          <m:r>
            <w:rPr>
              <w:rFonts w:ascii="Cambria Math" w:hAnsi="Cambria Math"/>
            </w:rPr>
            <m:t xml:space="preserve">(</m:t>
          </m:r>
          <m:r>
            <w:rPr>
              <w:rFonts w:ascii="Cambria Math" w:hAnsi="Cambria Math"/>
            </w:rPr>
            <m:t xml:space="preserve">P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t</m:t>
          </m:r>
          <m:r>
            <w:rPr>
              <w:rFonts w:ascii="Cambria Math" w:hAnsi="Cambria Math"/>
            </w:rPr>
            <m:t xml:space="preserve">T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n</m:t>
          </m:r>
          <m:sSub>
            <m:e>
              <m:r>
                <w:rPr>
                  <w:rFonts w:ascii="Cambria Math" w:hAnsi="Cambria Math"/>
                </w:rPr>
                <m:t xml:space="preserve">d</m:t>
              </m:r>
            </m:e>
            <m:sub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w:rPr>
              <w:rFonts w:ascii="Cambria Math" w:hAnsi="Cambria Math"/>
            </w:rPr>
            <m:t xml:space="preserve">×</m:t>
          </m:r>
          <m:r>
            <w:rPr>
              <w:rFonts w:ascii="Cambria Math" w:hAnsi="Cambria Math"/>
            </w:rPr>
            <m:t xml:space="preserve">T</m:t>
          </m:r>
          <m:r>
            <w:rPr>
              <w:rFonts w:ascii="Cambria Math" w:hAnsi="Cambria Math"/>
            </w:rPr>
            <m:t xml:space="preserve">y</m:t>
          </m:r>
          <m:r>
            <w:rPr>
              <w:rFonts w:ascii="Cambria Math" w:hAnsi="Cambria Math"/>
            </w:rPr>
            <m:t xml:space="preserve">p</m:t>
          </m:r>
          <m:sSub>
            <m:e>
              <m:r>
                <w:rPr>
                  <w:rFonts w:ascii="Cambria Math" w:hAnsi="Cambria Math"/>
                </w:rPr>
                <m:t xml:space="preserve">e</m:t>
              </m:r>
            </m:e>
            <m:sub>
              <m:r>
                <w:rPr>
                  <w:rFonts w:ascii="Cambria Math" w:hAnsi="Cambria Math"/>
                </w:rPr>
                <m:t xml:space="preserve">k</m:t>
              </m:r>
              <m:r>
                <w:rPr>
                  <w:rFonts w:ascii="Cambria Math" w:hAnsi="Cambria Math"/>
                </w:rPr>
                <m:t xml:space="preserve">d</m:t>
              </m:r>
            </m:sub>
          </m:sSub>
          <m:r>
            <w:rPr>
              <w:rFonts w:ascii="Cambria Math" w:hAnsi="Cambria Math"/>
            </w:rPr>
            <m:t xml:space="preserve">)</m:t>
          </m:r>
          <m:r>
            <m:rPr>
              <m:lit/>
              <m:nor/>
            </m:rPr>
            <w:rPr>
              <w:rFonts w:ascii="Cambria Math" w:hAnsi="Cambria Math"/>
            </w:rPr>
            <m:t xml:space="preserve">+</m:t>
          </m:r>
          <m:sSub>
            <m:e>
              <m:r>
                <w:rPr>
                  <w:rFonts w:ascii="Cambria Math" w:hAnsi="Cambria Math"/>
                </w:rPr>
                <m:t xml:space="preserve">ε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</m:oMath>
      </m:oMathPara>
    </w:p>
    <w:p>
      <w:pPr>
        <w:pStyle w:val="FirstParagraph"/>
        <w:rPr/>
      </w:pPr>
      <w:r>
        <w:rPr/>
        <w:t xml:space="preserve">where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k</m:t>
        </m:r>
        <m:r>
          <w:rPr>
            <w:rFonts w:ascii="Cambria Math" w:hAnsi="Cambria Math"/>
          </w:rPr>
          <m:t xml:space="preserve">∈</m:t>
        </m:r>
        <m:r>
          <w:rPr>
            <w:rFonts w:ascii="Cambria Math" w:hAnsi="Cambria Math"/>
          </w:rPr>
          <m:t xml:space="preserve">{</m:t>
        </m:r>
        <m:r>
          <m:rPr>
            <m:lit/>
            <m:nor/>
          </m:rPr>
          <w:rPr>
            <w:rFonts w:ascii="Cambria Math" w:hAnsi="Cambria Math"/>
          </w:rPr>
          <m:t xml:space="preserve">TX-MX</m:t>
        </m:r>
        <m:r>
          <w:rPr>
            <w:rFonts w:ascii="Cambria Math" w:hAnsi="Cambria Math"/>
          </w:rPr>
          <m:t xml:space="preserve">,</m:t>
        </m:r>
        <m:r>
          <m:rPr>
            <m:lit/>
            <m:nor/>
          </m:rPr>
          <w:rPr>
            <w:rFonts w:ascii="Cambria Math" w:hAnsi="Cambria Math"/>
          </w:rPr>
          <m:t xml:space="preserve">TX-NM</m:t>
        </m:r>
        <m:r>
          <w:rPr>
            <w:rFonts w:ascii="Cambria Math" w:hAnsi="Cambria Math"/>
          </w:rPr>
          <m:t xml:space="preserve">,</m:t>
        </m:r>
        <m:r>
          <m:rPr>
            <m:lit/>
            <m:nor/>
          </m:rPr>
          <w:rPr>
            <w:rFonts w:ascii="Cambria Math" w:hAnsi="Cambria Math"/>
          </w:rPr>
          <m:t xml:space="preserve">TX-OK</m:t>
        </m:r>
        <m:r>
          <w:rPr>
            <w:rFonts w:ascii="Cambria Math" w:hAnsi="Cambria Math"/>
          </w:rPr>
          <m:t xml:space="preserve">,</m:t>
        </m:r>
        <m:r>
          <m:rPr>
            <m:lit/>
            <m:nor/>
          </m:rPr>
          <w:rPr>
            <w:rFonts w:ascii="Cambria Math" w:hAnsi="Cambria Math"/>
          </w:rPr>
          <m:t xml:space="preserve">TX-LA</m:t>
        </m:r>
        <m:r>
          <w:rPr>
            <w:rFonts w:ascii="Cambria Math" w:hAnsi="Cambria Math"/>
          </w:rPr>
          <m:t xml:space="preserve">}</m:t>
        </m:r>
      </m:oMath>
      <w:r>
        <w:rPr/>
        <w:t>.</w:t>
      </w:r>
      <w:bookmarkEnd w:id="3"/>
    </w:p>
    <w:p>
      <w:pPr>
        <w:pStyle w:val="Heading3"/>
        <w:rPr/>
      </w:pPr>
      <w:bookmarkStart w:id="4" w:name="continuous-exposure-fe-interaction-model"/>
      <w:r>
        <w:rPr/>
        <w:t>Continuous exposure FE interaction model</w:t>
      </w:r>
    </w:p>
    <w:p>
      <w:pPr>
        <w:pStyle w:val="FirstParagraph"/>
        <w:jc w:val="center"/>
        <w:rPr/>
      </w:pPr>
      <w:bookmarkStart w:id="5" w:name="continuous-exposure-fe-interaction-model"/>
      <w:r>
        <w:rPr/>
      </w:r>
      <m:oMathPara xmlns:m="http://schemas.openxmlformats.org/officeDocument/2006/math">
        <m:oMathParaPr>
          <m:jc m:val="center"/>
        </m:oMathParaPr>
        <m:oMath>
          <m:sSub>
            <m:e>
              <m:r>
                <w:rPr>
                  <w:rFonts w:ascii="Cambria Math" w:hAnsi="Cambria Math"/>
                </w:rPr>
                <m:t xml:space="preserve">Y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=</m:t>
          </m:r>
          <m:sSub>
            <m:e>
              <m:r>
                <w:rPr>
                  <w:rFonts w:ascii="Cambria Math" w:hAnsi="Cambria Math"/>
                </w:rPr>
                <m:t xml:space="preserve">α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+</m:t>
          </m:r>
          <m:sSub>
            <m:e>
              <m:r>
                <w:rPr>
                  <w:rFonts w:ascii="Cambria Math" w:hAnsi="Cambria Math"/>
                </w:rPr>
                <m:t xml:space="preserve">γ</m:t>
              </m:r>
            </m:e>
            <m:sub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+</m:t>
          </m:r>
          <m:sSub>
            <m:e>
              <m:r>
                <w:rPr>
                  <w:rFonts w:ascii="Cambria Math" w:hAnsi="Cambria Math"/>
                </w:rPr>
                <m:t xml:space="preserve">η</m:t>
              </m:r>
            </m:e>
            <m:sub>
              <m:r>
                <w:rPr>
                  <w:rFonts w:ascii="Cambria Math" w:hAnsi="Cambria Math"/>
                </w:rPr>
                <m:t xml:space="preserve">1</m:t>
              </m:r>
            </m:sub>
          </m:sSub>
          <m:r>
            <w:rPr>
              <w:rFonts w:ascii="Cambria Math" w:hAnsi="Cambria Math"/>
            </w:rPr>
            <m:t xml:space="preserve">(</m:t>
          </m:r>
          <m:r>
            <w:rPr>
              <w:rFonts w:ascii="Cambria Math" w:hAnsi="Cambria Math"/>
            </w:rPr>
            <m:t xml:space="preserve">P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t</m:t>
          </m:r>
          <m:sSub>
            <m:e>
              <m:r>
                <w:rPr>
                  <w:rFonts w:ascii="Cambria Math" w:hAnsi="Cambria Math"/>
                </w:rPr>
                <m:t xml:space="preserve">2019</m:t>
              </m:r>
            </m:e>
            <m:sub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w:rPr>
              <w:rFonts w:ascii="Cambria Math" w:hAnsi="Cambria Math"/>
            </w:rPr>
            <m:t xml:space="preserve">×</m:t>
          </m:r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h</m:t>
          </m:r>
          <m:r>
            <w:rPr>
              <w:rFonts w:ascii="Cambria Math" w:hAnsi="Cambria Math"/>
            </w:rPr>
            <m:t xml:space="preserve">a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B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d</m:t>
          </m:r>
          <m:r>
            <w:rPr>
              <w:rFonts w:ascii="Cambria Math" w:hAnsi="Cambria Math"/>
            </w:rPr>
            <m:t xml:space="preserve">e</m:t>
          </m:r>
          <m:sSub>
            <m:e>
              <m:r>
                <w:rPr>
                  <w:rFonts w:ascii="Cambria Math" w:hAnsi="Cambria Math"/>
                </w:rPr>
                <m:t xml:space="preserve">r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w:rPr>
              <w:rFonts w:ascii="Cambria Math" w:hAnsi="Cambria Math"/>
            </w:rPr>
            <m:t xml:space="preserve">)</m:t>
          </m:r>
          <m:r>
            <m:rPr>
              <m:lit/>
              <m:nor/>
            </m:rPr>
            <w:rPr>
              <w:rFonts w:ascii="Cambria Math" w:hAnsi="Cambria Math"/>
            </w:rPr>
            <m:t xml:space="preserve">+</m:t>
          </m:r>
          <m:sSub>
            <m:e>
              <m:r>
                <w:rPr>
                  <w:rFonts w:ascii="Cambria Math" w:hAnsi="Cambria Math"/>
                </w:rPr>
                <m:t xml:space="preserve">η</m:t>
              </m:r>
            </m:e>
            <m:sub>
              <m:r>
                <w:rPr>
                  <w:rFonts w:ascii="Cambria Math" w:hAnsi="Cambria Math"/>
                </w:rPr>
                <m:t xml:space="preserve">2</m:t>
              </m:r>
            </m:sub>
          </m:sSub>
          <m:r>
            <w:rPr>
              <w:rFonts w:ascii="Cambria Math" w:hAnsi="Cambria Math"/>
            </w:rPr>
            <m:t xml:space="preserve">(</m:t>
          </m:r>
          <m:r>
            <w:rPr>
              <w:rFonts w:ascii="Cambria Math" w:hAnsi="Cambria Math"/>
            </w:rPr>
            <m:t xml:space="preserve">P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t</m:t>
          </m:r>
          <m:r>
            <w:rPr>
              <w:rFonts w:ascii="Cambria Math" w:hAnsi="Cambria Math"/>
            </w:rPr>
            <m:t xml:space="preserve">T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n</m:t>
          </m:r>
          <m:sSub>
            <m:e>
              <m:r>
                <w:rPr>
                  <w:rFonts w:ascii="Cambria Math" w:hAnsi="Cambria Math"/>
                </w:rPr>
                <m:t xml:space="preserve">d</m:t>
              </m:r>
            </m:e>
            <m:sub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w:rPr>
              <w:rFonts w:ascii="Cambria Math" w:hAnsi="Cambria Math"/>
            </w:rPr>
            <m:t xml:space="preserve">×</m:t>
          </m:r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h</m:t>
          </m:r>
          <m:r>
            <w:rPr>
              <w:rFonts w:ascii="Cambria Math" w:hAnsi="Cambria Math"/>
            </w:rPr>
            <m:t xml:space="preserve">a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B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d</m:t>
          </m:r>
          <m:r>
            <w:rPr>
              <w:rFonts w:ascii="Cambria Math" w:hAnsi="Cambria Math"/>
            </w:rPr>
            <m:t xml:space="preserve">e</m:t>
          </m:r>
          <m:sSub>
            <m:e>
              <m:r>
                <w:rPr>
                  <w:rFonts w:ascii="Cambria Math" w:hAnsi="Cambria Math"/>
                </w:rPr>
                <m:t xml:space="preserve">r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w:rPr>
              <w:rFonts w:ascii="Cambria Math" w:hAnsi="Cambria Math"/>
            </w:rPr>
            <m:t xml:space="preserve">)</m:t>
          </m:r>
          <m:r>
            <m:rPr>
              <m:lit/>
              <m:nor/>
            </m:rPr>
            <w:rPr>
              <w:rFonts w:ascii="Cambria Math" w:hAnsi="Cambria Math"/>
            </w:rPr>
            <m:t xml:space="preserve">+</m:t>
          </m:r>
          <m:sSub>
            <m:e>
              <m:r>
                <w:rPr>
                  <w:rFonts w:ascii="Cambria Math" w:hAnsi="Cambria Math"/>
                </w:rPr>
                <m:t xml:space="preserve">ε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</m:oMath>
      </m:oMathPara>
      <w:bookmarkEnd w:id="5"/>
    </w:p>
    <w:p>
      <w:pPr>
        <w:pStyle w:val="Heading3"/>
        <w:rPr/>
      </w:pPr>
      <w:bookmarkStart w:id="6" w:name="cutoff-specific-exposure"/>
      <w:r>
        <w:rPr/>
        <w:t>Cutoff-specific exposure</w:t>
      </w:r>
    </w:p>
    <w:p>
      <w:pPr>
        <w:pStyle w:val="FirstParagraph"/>
        <w:jc w:val="center"/>
        <w:rPr/>
      </w:pPr>
      <w:r>
        <w:rPr/>
      </w:r>
      <m:oMathPara xmlns:m="http://schemas.openxmlformats.org/officeDocument/2006/math">
        <m:oMathParaPr>
          <m:jc m:val="center"/>
        </m:oMathParaPr>
        <m:oMath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h</m:t>
          </m:r>
          <m:r>
            <w:rPr>
              <w:rFonts w:ascii="Cambria Math" w:hAnsi="Cambria Math"/>
            </w:rPr>
            <m:t xml:space="preserve">a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B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d</m:t>
          </m:r>
          <m:r>
            <w:rPr>
              <w:rFonts w:ascii="Cambria Math" w:hAnsi="Cambria Math"/>
            </w:rPr>
            <m:t xml:space="preserve">e</m:t>
          </m:r>
          <m:sSubSup>
            <m:e>
              <m:r>
                <w:rPr>
                  <w:rFonts w:ascii="Cambria Math" w:hAnsi="Cambria Math"/>
                </w:rPr>
                <m:t xml:space="preserve">r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  <m:sup>
              <m:r>
                <w:rPr>
                  <w:rFonts w:ascii="Cambria Math" w:hAnsi="Cambria Math"/>
                </w:rPr>
                <m:t xml:space="preserve">(</m:t>
              </m:r>
              <m:r>
                <w:rPr>
                  <w:rFonts w:ascii="Cambria Math" w:hAnsi="Cambria Math"/>
                </w:rPr>
                <m:t xml:space="preserve">c</m:t>
              </m:r>
              <m:r>
                <w:rPr>
                  <w:rFonts w:ascii="Cambria Math" w:hAnsi="Cambria Math"/>
                </w:rPr>
                <m:t xml:space="preserve">)</m:t>
              </m:r>
            </m:sup>
          </m:sSubSup>
          <m:r>
            <w:rPr>
              <w:rFonts w:ascii="Cambria Math" w:hAnsi="Cambria Math"/>
            </w:rPr>
            <m:t xml:space="preserve">,</m:t>
          </m:r>
          <m:r>
            <w:rPr>
              <w:rFonts w:ascii="Cambria Math" w:hAnsi="Cambria Math"/>
            </w:rPr>
            <m:t xml:space="preserve">c</m:t>
          </m:r>
          <m:r>
            <w:rPr>
              <w:rFonts w:ascii="Cambria Math" w:hAnsi="Cambria Math"/>
            </w:rPr>
            <m:t xml:space="preserve">∈</m:t>
          </m:r>
          <m:r>
            <w:rPr>
              <w:rFonts w:ascii="Cambria Math" w:hAnsi="Cambria Math"/>
            </w:rPr>
            <m:t xml:space="preserve">{</m:t>
          </m:r>
          <m:r>
            <w:rPr>
              <w:rFonts w:ascii="Cambria Math" w:hAnsi="Cambria Math"/>
            </w:rPr>
            <m:t xml:space="preserve">25</m:t>
          </m:r>
          <m:r>
            <w:rPr>
              <w:rFonts w:ascii="Cambria Math" w:hAnsi="Cambria Math"/>
            </w:rPr>
            <m:t xml:space="preserve">,</m:t>
          </m:r>
          <m:r>
            <w:rPr>
              <w:rFonts w:ascii="Cambria Math" w:hAnsi="Cambria Math"/>
            </w:rPr>
            <m:t xml:space="preserve">75</m:t>
          </m:r>
          <m:r>
            <w:rPr>
              <w:rFonts w:ascii="Cambria Math" w:hAnsi="Cambria Math"/>
            </w:rPr>
            <m:t xml:space="preserve">,</m:t>
          </m:r>
          <m:r>
            <w:rPr>
              <w:rFonts w:ascii="Cambria Math" w:hAnsi="Cambria Math"/>
            </w:rPr>
            <m:t xml:space="preserve">100</m:t>
          </m:r>
          <m:r>
            <w:rPr>
              <w:rFonts w:ascii="Cambria Math" w:hAnsi="Cambria Math"/>
            </w:rPr>
            <m:t xml:space="preserve">}</m:t>
          </m:r>
        </m:oMath>
      </m:oMathPara>
    </w:p>
    <w:p>
      <w:pPr>
        <w:pStyle w:val="FirstParagraph"/>
        <w:rPr/>
      </w:pPr>
      <w:bookmarkStart w:id="7" w:name="cutoff-specific-exposure"/>
      <w:r>
        <w:rPr/>
        <w:t>substituted into the same FE interaction framework.</w:t>
      </w:r>
      <w:bookmarkEnd w:id="7"/>
    </w:p>
    <w:p>
      <w:pPr>
        <w:pStyle w:val="Heading2"/>
        <w:rPr/>
      </w:pPr>
      <w:r>
        <w:rPr/>
        <w:t>A3. Main FE Interaction Table (RQ2)</w:t>
      </w:r>
    </w:p>
    <w:tbl>
      <w:tblPr>
        <w:tblStyle w:val="Table"/>
        <w:tblW w:w="5000" w:type="pct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20" w:noHBand="0" w:noVBand="0" w:firstColumn="0" w:lastRow="0" w:lastColumn="0" w:firstRow="1"/>
      </w:tblPr>
      <w:tblGrid>
        <w:gridCol w:w="1221"/>
        <w:gridCol w:w="1628"/>
        <w:gridCol w:w="1627"/>
        <w:gridCol w:w="1628"/>
        <w:gridCol w:w="1628"/>
        <w:gridCol w:w="1628"/>
      </w:tblGrid>
      <w:tr>
        <w:trPr>
          <w:tblHeader w:val="true"/>
        </w:trPr>
        <w:tc>
          <w:tcPr>
            <w:tcW w:w="1221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Outcome</w:t>
            </w:r>
          </w:p>
        </w:tc>
        <w:tc>
          <w:tcPr>
            <w:tcW w:w="1628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post_2019 x border</w:t>
            </w:r>
          </w:p>
        </w:tc>
        <w:tc>
          <w:tcPr>
            <w:tcW w:w="1627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p-value</w:t>
            </w:r>
          </w:p>
        </w:tc>
        <w:tc>
          <w:tcPr>
            <w:tcW w:w="1628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post_trend x border</w:t>
            </w:r>
          </w:p>
        </w:tc>
        <w:tc>
          <w:tcPr>
            <w:tcW w:w="1628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p-value</w:t>
            </w:r>
          </w:p>
        </w:tc>
        <w:tc>
          <w:tcPr>
            <w:tcW w:w="1628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N</w:t>
            </w:r>
          </w:p>
        </w:tc>
      </w:tr>
      <w:tr>
        <w:trPr/>
        <w:tc>
          <w:tcPr>
            <w:tcW w:w="1221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inspection_intensity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-0.1191</w:t>
            </w:r>
          </w:p>
        </w:tc>
        <w:tc>
          <w:tcPr>
            <w:tcW w:w="1627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0.0753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-0.0052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0.8181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1221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violations_per_inspection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0.0040</w:t>
            </w:r>
          </w:p>
        </w:tc>
        <w:tc>
          <w:tcPr>
            <w:tcW w:w="1627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0.8881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-0.0012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0.8350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1221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avg_days_to_enforcement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-74.5893</w:t>
            </w:r>
          </w:p>
        </w:tc>
        <w:tc>
          <w:tcPr>
            <w:tcW w:w="1627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0.0156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-1.1587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0.9252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1221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resolution_rate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0.0404</w:t>
            </w:r>
          </w:p>
        </w:tc>
        <w:tc>
          <w:tcPr>
            <w:tcW w:w="1627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0.4520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-0.0186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0.3404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  <w:bookmarkStart w:id="8" w:name="a3.-main-fe-interaction-table-rq2"/>
            <w:bookmarkEnd w:id="8"/>
          </w:p>
        </w:tc>
      </w:tr>
    </w:tbl>
    <w:p>
      <w:pPr>
        <w:pStyle w:val="Heading2"/>
        <w:rPr/>
      </w:pPr>
      <w:r>
        <w:rPr/>
        <w:t>A4. Border-Type Timing Interactions (Money Plot Companion)</w:t>
      </w:r>
    </w:p>
    <w:tbl>
      <w:tblPr>
        <w:tblStyle w:val="Table"/>
        <w:tblW w:w="792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20" w:noHBand="0" w:noVBand="0" w:firstColumn="0" w:lastRow="0" w:lastColumn="0" w:firstRow="1"/>
      </w:tblPr>
      <w:tblGrid>
        <w:gridCol w:w="2640"/>
        <w:gridCol w:w="2640"/>
        <w:gridCol w:w="2640"/>
      </w:tblGrid>
      <w:tr>
        <w:trPr>
          <w:tblHeader w:val="true"/>
        </w:trPr>
        <w:tc>
          <w:tcPr>
            <w:tcW w:w="264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Term</w:t>
            </w:r>
          </w:p>
        </w:tc>
        <w:tc>
          <w:tcPr>
            <w:tcW w:w="264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Coefficient</w:t>
            </w:r>
          </w:p>
        </w:tc>
        <w:tc>
          <w:tcPr>
            <w:tcW w:w="264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p-value</w:t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post_2019:has_tx_mex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4.0900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0.9062</w:t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post_2019:has_tx_nm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-18.7442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0.6013</w:t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post_2019:has_tx_ok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-14.2446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0.8134</w:t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post_2019:has_tx_la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-43.6598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0.6415</w:t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post_trend:has_tx_mex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-0.0148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0.9991</w:t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post_trend:has_tx_nm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22.9067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0.0189</w:t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post_trend:has_tx_ok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-16.7188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0.0794</w:t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post_trend:has_tx_la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0.6415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0.9551</w:t>
            </w:r>
          </w:p>
        </w:tc>
      </w:tr>
    </w:tbl>
    <w:p>
      <w:pPr>
        <w:pStyle w:val="Heading2"/>
        <w:rPr/>
      </w:pPr>
      <w:r>
        <w:rPr/>
        <w:t>A5. Continuous Exposure Results</w:t>
      </w:r>
    </w:p>
    <w:tbl>
      <w:tblPr>
        <w:tblStyle w:val="Table"/>
        <w:tblW w:w="5000" w:type="pct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20" w:noHBand="0" w:noVBand="0" w:firstColumn="0" w:lastRow="0" w:lastColumn="0" w:firstRow="1"/>
      </w:tblPr>
      <w:tblGrid>
        <w:gridCol w:w="1337"/>
        <w:gridCol w:w="1337"/>
        <w:gridCol w:w="1337"/>
        <w:gridCol w:w="1782"/>
        <w:gridCol w:w="1783"/>
        <w:gridCol w:w="1784"/>
      </w:tblGrid>
      <w:tr>
        <w:trPr>
          <w:tblHeader w:val="true"/>
        </w:trPr>
        <w:tc>
          <w:tcPr>
            <w:tcW w:w="1337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Family</w:t>
            </w:r>
          </w:p>
        </w:tc>
        <w:tc>
          <w:tcPr>
            <w:tcW w:w="1337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Outcome</w:t>
            </w:r>
          </w:p>
        </w:tc>
        <w:tc>
          <w:tcPr>
            <w:tcW w:w="1337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Term</w:t>
            </w:r>
          </w:p>
        </w:tc>
        <w:tc>
          <w:tcPr>
            <w:tcW w:w="1782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Coef</w:t>
            </w:r>
          </w:p>
        </w:tc>
        <w:tc>
          <w:tcPr>
            <w:tcW w:w="1783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p-value</w:t>
            </w:r>
          </w:p>
        </w:tc>
        <w:tc>
          <w:tcPr>
            <w:tcW w:w="1784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N</w:t>
            </w:r>
          </w:p>
        </w:tc>
      </w:tr>
      <w:tr>
        <w:trPr/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RQ1 levels continuous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inspection_intensity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share_border_exposed_insp</w:t>
            </w:r>
          </w:p>
        </w:tc>
        <w:tc>
          <w:tcPr>
            <w:tcW w:w="1782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0.2095</w:t>
            </w:r>
          </w:p>
        </w:tc>
        <w:tc>
          <w:tcPr>
            <w:tcW w:w="1783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0.4757</w:t>
            </w:r>
          </w:p>
        </w:tc>
        <w:tc>
          <w:tcPr>
            <w:tcW w:w="17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RQ1 levels continuous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avg_days_to_enforcement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share_border_exposed_insp</w:t>
            </w:r>
          </w:p>
        </w:tc>
        <w:tc>
          <w:tcPr>
            <w:tcW w:w="1782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103.4683</w:t>
            </w:r>
          </w:p>
        </w:tc>
        <w:tc>
          <w:tcPr>
            <w:tcW w:w="1783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0.5710</w:t>
            </w:r>
          </w:p>
        </w:tc>
        <w:tc>
          <w:tcPr>
            <w:tcW w:w="17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RQ1 levels continuous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violations_per_inspection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share_border_exposed_insp</w:t>
            </w:r>
          </w:p>
        </w:tc>
        <w:tc>
          <w:tcPr>
            <w:tcW w:w="1782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-0.1585</w:t>
            </w:r>
          </w:p>
        </w:tc>
        <w:tc>
          <w:tcPr>
            <w:tcW w:w="1783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0.0144</w:t>
            </w:r>
          </w:p>
        </w:tc>
        <w:tc>
          <w:tcPr>
            <w:tcW w:w="17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RQ1 levels continuous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resolution_rate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share_border_exposed_insp</w:t>
            </w:r>
          </w:p>
        </w:tc>
        <w:tc>
          <w:tcPr>
            <w:tcW w:w="1782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-0.0420</w:t>
            </w:r>
          </w:p>
        </w:tc>
        <w:tc>
          <w:tcPr>
            <w:tcW w:w="1783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0.8619</w:t>
            </w:r>
          </w:p>
        </w:tc>
        <w:tc>
          <w:tcPr>
            <w:tcW w:w="17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RQ2 FE continuous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avg_days_to_enforcement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post_2019:share_border_exposed_insp</w:t>
            </w:r>
          </w:p>
        </w:tc>
        <w:tc>
          <w:tcPr>
            <w:tcW w:w="1782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-109.4067</w:t>
            </w:r>
          </w:p>
        </w:tc>
        <w:tc>
          <w:tcPr>
            <w:tcW w:w="1783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0.4449</w:t>
            </w:r>
          </w:p>
        </w:tc>
        <w:tc>
          <w:tcPr>
            <w:tcW w:w="17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RQ2 FE continuous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avg_days_to_enforcement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post_trend:share_border_exposed_insp</w:t>
            </w:r>
          </w:p>
        </w:tc>
        <w:tc>
          <w:tcPr>
            <w:tcW w:w="1782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13.9623</w:t>
            </w:r>
          </w:p>
        </w:tc>
        <w:tc>
          <w:tcPr>
            <w:tcW w:w="1783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0.7415</w:t>
            </w:r>
          </w:p>
        </w:tc>
        <w:tc>
          <w:tcPr>
            <w:tcW w:w="17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RQ2 FE continuous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resolution_rate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post_2019:share_border_exposed_insp</w:t>
            </w:r>
          </w:p>
        </w:tc>
        <w:tc>
          <w:tcPr>
            <w:tcW w:w="1782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-0.0322</w:t>
            </w:r>
          </w:p>
        </w:tc>
        <w:tc>
          <w:tcPr>
            <w:tcW w:w="1783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0.8163</w:t>
            </w:r>
          </w:p>
        </w:tc>
        <w:tc>
          <w:tcPr>
            <w:tcW w:w="17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RQ2 FE continuous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resolution_rate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post_trend:share_border_exposed_insp</w:t>
            </w:r>
          </w:p>
        </w:tc>
        <w:tc>
          <w:tcPr>
            <w:tcW w:w="1782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-0.0979</w:t>
            </w:r>
          </w:p>
        </w:tc>
        <w:tc>
          <w:tcPr>
            <w:tcW w:w="1783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0.0423</w:t>
            </w:r>
          </w:p>
        </w:tc>
        <w:tc>
          <w:tcPr>
            <w:tcW w:w="17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</w:tbl>
    <w:p>
      <w:pPr>
        <w:pStyle w:val="Heading2"/>
        <w:rPr/>
      </w:pPr>
      <w:r>
        <w:rPr/>
        <w:t>A6. Cutoff Sensitivity (Timing-Focused Terms)</w:t>
      </w:r>
    </w:p>
    <w:tbl>
      <w:tblPr>
        <w:tblStyle w:val="Table"/>
        <w:tblW w:w="792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20" w:noHBand="0" w:noVBand="0" w:firstColumn="0" w:lastRow="0" w:lastColumn="0" w:firstRow="1"/>
      </w:tblPr>
      <w:tblGrid>
        <w:gridCol w:w="1584"/>
        <w:gridCol w:w="1584"/>
        <w:gridCol w:w="1584"/>
        <w:gridCol w:w="1584"/>
        <w:gridCol w:w="1584"/>
      </w:tblGrid>
      <w:tr>
        <w:trPr>
          <w:tblHeader w:val="true"/>
        </w:trPr>
        <w:tc>
          <w:tcPr>
            <w:tcW w:w="1584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Cutoff km</w:t>
            </w:r>
          </w:p>
        </w:tc>
        <w:tc>
          <w:tcPr>
            <w:tcW w:w="1584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Term</w:t>
            </w:r>
          </w:p>
        </w:tc>
        <w:tc>
          <w:tcPr>
            <w:tcW w:w="1584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Coef</w:t>
            </w:r>
          </w:p>
        </w:tc>
        <w:tc>
          <w:tcPr>
            <w:tcW w:w="1584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p-value</w:t>
            </w:r>
          </w:p>
        </w:tc>
        <w:tc>
          <w:tcPr>
            <w:tcW w:w="1584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N</w:t>
            </w:r>
          </w:p>
        </w:tc>
      </w:tr>
      <w:tr>
        <w:trPr/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25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post_2019:share_border_25km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-101.9283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0.7010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75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post_2019:share_border_75km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-75.6591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0.5116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100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post_2019:share_border_100km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-4.4795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0.9474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</w:tbl>
    <w:p>
      <w:pPr>
        <w:pStyle w:val="Heading2"/>
        <w:rPr/>
      </w:pPr>
      <w:r>
        <w:rPr/>
        <w:t>A7. District Border-Type Profile</w:t>
      </w:r>
    </w:p>
    <w:tbl>
      <w:tblPr>
        <w:tblStyle w:val="Table"/>
        <w:tblW w:w="5000" w:type="pct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20" w:noHBand="0" w:noVBand="0" w:firstColumn="0" w:lastRow="0" w:lastColumn="0" w:firstRow="1"/>
      </w:tblPr>
      <w:tblGrid>
        <w:gridCol w:w="1079"/>
        <w:gridCol w:w="1440"/>
        <w:gridCol w:w="1079"/>
        <w:gridCol w:w="1441"/>
        <w:gridCol w:w="1440"/>
        <w:gridCol w:w="1440"/>
        <w:gridCol w:w="1441"/>
      </w:tblGrid>
      <w:tr>
        <w:trPr>
          <w:tblHeader w:val="true"/>
        </w:trPr>
        <w:tc>
          <w:tcPr>
            <w:tcW w:w="1079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District</w:t>
            </w:r>
          </w:p>
        </w:tc>
        <w:tc>
          <w:tcPr>
            <w:tcW w:w="144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Wells</w:t>
            </w:r>
          </w:p>
        </w:tc>
        <w:tc>
          <w:tcPr>
            <w:tcW w:w="1079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Dominant type</w:t>
            </w:r>
          </w:p>
        </w:tc>
        <w:tc>
          <w:tcPr>
            <w:tcW w:w="1441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TX-MX share</w:t>
            </w:r>
          </w:p>
        </w:tc>
        <w:tc>
          <w:tcPr>
            <w:tcW w:w="144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TX-NM share</w:t>
            </w:r>
          </w:p>
        </w:tc>
        <w:tc>
          <w:tcPr>
            <w:tcW w:w="144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TX-OK share</w:t>
            </w:r>
          </w:p>
        </w:tc>
        <w:tc>
          <w:tcPr>
            <w:tcW w:w="1441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TX-LA share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31,898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TX-MX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0.2313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02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17,099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NONE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03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16,700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TX-LA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0.1166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04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20,973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TX-MX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0.6384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05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9,938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TX-OK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0.0022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06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24,422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TX-LA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0.0293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0.5235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08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105,931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TX-NM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0.0001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0.1905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09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46,485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NONE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29,621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TX-OK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0.0009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0.3020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6E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6,235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NONE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7B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21,230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NONE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7C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43,061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NONE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8A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42,005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TX-NM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0.4182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</w:tr>
    </w:tbl>
    <w:p>
      <w:pPr>
        <w:pStyle w:val="Heading2"/>
        <w:rPr/>
      </w:pPr>
      <w:r>
        <w:rPr/>
        <w:t>A8. Figures and Output Artifacts</w:t>
      </w:r>
    </w:p>
    <w:p>
      <w:pPr>
        <w:pStyle w:val="Compact"/>
        <w:numPr>
          <w:ilvl w:val="0"/>
          <w:numId w:val="1"/>
        </w:numPr>
        <w:rPr/>
      </w:pPr>
      <w:r>
        <w:rPr/>
        <w:t xml:space="preserve">Border exposure map: </w:t>
      </w:r>
      <w:r>
        <w:rPr>
          <w:rStyle w:val="VerbatimChar"/>
        </w:rPr>
        <w:t>analysis/output_borderlands/well_border_exposure_map.png</w:t>
      </w:r>
    </w:p>
    <w:p>
      <w:pPr>
        <w:pStyle w:val="Compact"/>
        <w:numPr>
          <w:ilvl w:val="0"/>
          <w:numId w:val="1"/>
        </w:numPr>
        <w:rPr/>
      </w:pPr>
      <w:r>
        <w:rPr/>
        <w:t xml:space="preserve">Border vs non-border trends: </w:t>
      </w:r>
      <w:r>
        <w:rPr>
          <w:rStyle w:val="VerbatimChar"/>
        </w:rPr>
        <w:t>analysis/output_borderlands/border_vs_nonborder_trends.png</w:t>
      </w:r>
    </w:p>
    <w:p>
      <w:pPr>
        <w:pStyle w:val="Compact"/>
        <w:numPr>
          <w:ilvl w:val="0"/>
          <w:numId w:val="1"/>
        </w:numPr>
        <w:rPr/>
      </w:pPr>
      <w:r>
        <w:rPr/>
        <w:t xml:space="preserve">Main timing figure: </w:t>
      </w:r>
      <w:r>
        <w:rPr>
          <w:rStyle w:val="VerbatimChar"/>
        </w:rPr>
        <w:t>analysis/output_borderlands/money_plot_timing_border_prepost2019.png</w:t>
      </w:r>
    </w:p>
    <w:p>
      <w:pPr>
        <w:pStyle w:val="Compact"/>
        <w:numPr>
          <w:ilvl w:val="0"/>
          <w:numId w:val="1"/>
        </w:numPr>
        <w:rPr/>
      </w:pPr>
      <w:r>
        <w:rPr/>
        <w:t xml:space="preserve">Timing CI table: </w:t>
      </w:r>
      <w:r>
        <w:rPr>
          <w:rStyle w:val="VerbatimChar"/>
        </w:rPr>
        <w:t>analysis/output_borderlands/money_plot_timing_ci_by_year.csv</w:t>
      </w:r>
    </w:p>
    <w:p>
      <w:pPr>
        <w:pStyle w:val="Heading2"/>
        <w:rPr/>
      </w:pPr>
      <w:bookmarkStart w:id="9" w:name="Xc892ec30a6b1e8c4634e45f3db29e56453fe8f6"/>
      <w:r>
        <w:rPr/>
        <w:t>A9. Optional Prior Artifact (Not Estimated in Current Causal Scope)</w:t>
      </w:r>
    </w:p>
    <w:p>
      <w:pPr>
        <w:pStyle w:val="FirstParagraph"/>
        <w:rPr/>
      </w:pPr>
      <w:r>
        <w:rPr>
          <w:rStyle w:val="VerbatimChar"/>
        </w:rPr>
        <w:t>analysis/output_borderlands/competition_asymmetry_results.csv</w:t>
      </w:r>
      <w:r>
        <w:rPr/>
        <w:t xml:space="preserve"> contains:</w:t>
      </w:r>
    </w:p>
    <w:p>
      <w:pPr>
        <w:pStyle w:val="Compact"/>
        <w:numPr>
          <w:ilvl w:val="0"/>
          <w:numId w:val="1"/>
        </w:numPr>
        <w:rPr/>
      </w:pPr>
      <w:r>
        <w:rPr>
          <w:rStyle w:val="VerbatimChar"/>
        </w:rPr>
        <w:t>gap_pos</w:t>
      </w:r>
      <w:r>
        <w:rPr/>
        <w:t xml:space="preserve"> = 0.5837 (p &lt; 0.001)</w:t>
      </w:r>
    </w:p>
    <w:p>
      <w:pPr>
        <w:pStyle w:val="Compact"/>
        <w:numPr>
          <w:ilvl w:val="0"/>
          <w:numId w:val="1"/>
        </w:numPr>
        <w:rPr/>
      </w:pPr>
      <w:r>
        <w:rPr>
          <w:rStyle w:val="VerbatimChar"/>
        </w:rPr>
        <w:t>gap_neg</w:t>
      </w:r>
      <w:r>
        <w:rPr/>
        <w:t xml:space="preserve"> = 0.4993 (p = 0.0027)</w:t>
      </w:r>
    </w:p>
    <w:p>
      <w:pPr>
        <w:pStyle w:val="FirstParagraph"/>
        <w:spacing w:before="180" w:after="180"/>
        <w:rPr/>
      </w:pPr>
      <w:bookmarkStart w:id="10" w:name="appendix"/>
      <w:bookmarkStart w:id="11" w:name="Xc892ec30a6b1e8c4634e45f3db29e56453fe8f6"/>
      <w:r>
        <w:rPr/>
        <w:t>These estimates are not part of the current notebook’s identified model scope and should not be interpreted as a completed reaction-function test in this manuscript version.</w:t>
      </w:r>
      <w:bookmarkEnd w:id="10"/>
      <w:bookmarkEnd w:id="11"/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roman"/>
    <w:pitch w:val="variable"/>
  </w:font>
  <w:font w:name="DejaVu Sans">
    <w:charset w:val="01"/>
    <w:family w:val="swiss"/>
    <w:pitch w:val="variable"/>
  </w:font>
  <w:font w:name="Aptos Display">
    <w:charset w:val="01"/>
    <w:family w:val="roman"/>
    <w:pitch w:val="variable"/>
  </w:font>
  <w:font w:name="Consolas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hyphenationZone w:val="0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" w:cs="" w:asciiTheme="minorHAnsi" w:cstheme="minorBidi" w:eastAsiaTheme="minorEastAsia" w:hAnsiTheme="minorHAnsi"/>
        <w:sz w:val="24"/>
        <w:szCs w:val="24"/>
        <w:lang w:val="en-US" w:eastAsia="zh-CN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76"/>
  <w:style w:type="paragraph" w:styleId="Normal" w:default="1">
    <w:name w:val="Normal"/>
    <w:qFormat/>
    <w:pPr>
      <w:widowControl/>
      <w:bidi w:val="0"/>
      <w:spacing w:before="0" w:after="200"/>
      <w:jc w:val="left"/>
    </w:pPr>
    <w:rPr>
      <w:rFonts w:ascii="DejaVu Sans" w:hAnsi="DejaVu Sans" w:eastAsia="" w:cs="" w:cstheme="minorBidi" w:eastAsiaTheme="minorEastAsia"/>
      <w:color w:val="auto"/>
      <w:kern w:val="0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TitleChar" w:customStyle="1">
    <w:name w:val="Title Char"/>
    <w:basedOn w:val="DefaultParagraphFont"/>
    <w:link w:val="Title"/>
    <w:uiPriority w:val="10"/>
    <w:qFormat/>
    <w:rsid w:val="00a10fd9"/>
    <w:rPr>
      <w:rFonts w:ascii="Aptos Display" w:hAnsi="Aptos Display" w:eastAsia="" w:cs="" w:asciiTheme="majorHAnsi" w:cstheme="majorBidi" w:eastAsiaTheme="majorEastAsia" w:hAnsiTheme="majorHAnsi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a10fd9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Heading1Char" w:customStyle="1">
    <w:name w:val="Heading 1 Char"/>
    <w:basedOn w:val="DefaultParagraphFont"/>
    <w:link w:val="Heading1"/>
    <w:uiPriority w:val="9"/>
    <w:qFormat/>
    <w:rsid w:val="00a10fd9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qFormat/>
    <w:rsid w:val="00a10fd9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a10fd9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a10fd9"/>
    <w:rPr>
      <w:rFonts w:eastAsia="" w:cs="" w:cstheme="majorBidi" w:eastAsiaTheme="majorEastAsia"/>
      <w:i/>
      <w:iCs/>
      <w:color w:themeColor="accent1" w:themeShade="bf" w:val="0F4761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a10fd9"/>
    <w:rPr>
      <w:rFonts w:eastAsia="" w:cs="" w:cstheme="majorBidi" w:eastAsiaTheme="majorEastAsia"/>
      <w:color w:themeColor="accent1" w:themeShade="bf" w:val="0F4761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a10fd9"/>
    <w:rPr>
      <w:rFonts w:eastAsia="" w:cs="" w:cstheme="majorBidi" w:eastAsiaTheme="majorEastAsia"/>
      <w:i/>
      <w:iCs/>
      <w:color w:themeColor="text1" w:themeTint="a6" w:val="595959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a10fd9"/>
    <w:rPr>
      <w:rFonts w:eastAsia="" w:cs="" w:cstheme="majorBidi" w:eastAsiaTheme="majorEastAsia"/>
      <w:color w:themeColor="text1" w:themeTint="a6" w:val="595959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a10fd9"/>
    <w:rPr>
      <w:rFonts w:eastAsia="" w:cs="" w:cstheme="majorBidi" w:eastAsiaTheme="majorEastAsia"/>
      <w:i/>
      <w:iCs/>
      <w:color w:themeColor="text1" w:themeTint="d8" w:val="272727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a10fd9"/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semiHidden/>
    <w:unhideWhenUsed/>
    <w:qFormat/>
    <w:rPr/>
  </w:style>
  <w:style w:type="character" w:styleId="BodyTextChar" w:customStyle="1">
    <w:name w:val="Body Text Char"/>
    <w:basedOn w:val="DefaultParagraphFont"/>
    <w:qFormat/>
    <w:rPr/>
  </w:style>
  <w:style w:type="character" w:styleId="VerbatimChar" w:customStyle="1">
    <w:name w:val="Verbatim Char"/>
    <w:basedOn w:val="BodyTextChar"/>
    <w:qFormat/>
    <w:rPr>
      <w:rFonts w:ascii="Consolas" w:hAnsi="Consolas"/>
      <w:sz w:val="22"/>
    </w:rPr>
  </w:style>
  <w:style w:type="character" w:styleId="SectionNumber" w:customStyle="1">
    <w:name w:val="Section Number"/>
    <w:basedOn w:val="BodyTextChar"/>
    <w:qFormat/>
    <w:rPr/>
  </w:style>
  <w:style w:type="character" w:styleId="FootnoteCharacters">
    <w:name w:val="Footnote Characters"/>
    <w:basedOn w:val="BodyTextChar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yperlink">
    <w:name w:val="Hyperlink"/>
    <w:basedOn w:val="BodyTextChar"/>
    <w:rPr>
      <w:color w:themeColor="accent1" w:val="4F81BD"/>
    </w:rPr>
  </w:style>
  <w:style w:type="character" w:styleId="KeywordTok" w:customStyle="1">
    <w:name w:val="KeywordTok"/>
    <w:basedOn w:val="VerbatimChar"/>
    <w:qFormat/>
    <w:rPr>
      <w:b/>
      <w:color w:val="007020"/>
    </w:rPr>
  </w:style>
  <w:style w:type="character" w:styleId="DataTypeTok" w:customStyle="1">
    <w:name w:val="DataTypeTok"/>
    <w:basedOn w:val="VerbatimChar"/>
    <w:qFormat/>
    <w:rPr>
      <w:color w:val="902000"/>
    </w:rPr>
  </w:style>
  <w:style w:type="character" w:styleId="DecValTok" w:customStyle="1">
    <w:name w:val="DecValTok"/>
    <w:basedOn w:val="VerbatimChar"/>
    <w:qFormat/>
    <w:rPr>
      <w:color w:val="40A070"/>
    </w:rPr>
  </w:style>
  <w:style w:type="character" w:styleId="BaseNTok" w:customStyle="1">
    <w:name w:val="BaseNTok"/>
    <w:basedOn w:val="VerbatimChar"/>
    <w:qFormat/>
    <w:rPr>
      <w:color w:val="40A070"/>
    </w:rPr>
  </w:style>
  <w:style w:type="character" w:styleId="FloatTok" w:customStyle="1">
    <w:name w:val="FloatTok"/>
    <w:basedOn w:val="VerbatimChar"/>
    <w:qFormat/>
    <w:rPr>
      <w:color w:val="40A070"/>
    </w:rPr>
  </w:style>
  <w:style w:type="character" w:styleId="ConstantTok" w:customStyle="1">
    <w:name w:val="ConstantTok"/>
    <w:basedOn w:val="VerbatimChar"/>
    <w:qFormat/>
    <w:rPr>
      <w:color w:val="880000"/>
    </w:rPr>
  </w:style>
  <w:style w:type="character" w:styleId="CharTok" w:customStyle="1">
    <w:name w:val="CharTok"/>
    <w:basedOn w:val="VerbatimChar"/>
    <w:qFormat/>
    <w:rPr>
      <w:color w:val="4070A0"/>
    </w:rPr>
  </w:style>
  <w:style w:type="character" w:styleId="SpecialCharTok" w:customStyle="1">
    <w:name w:val="SpecialCharTok"/>
    <w:basedOn w:val="VerbatimChar"/>
    <w:qFormat/>
    <w:rPr>
      <w:color w:val="4070A0"/>
    </w:rPr>
  </w:style>
  <w:style w:type="character" w:styleId="StringTok" w:customStyle="1">
    <w:name w:val="StringTok"/>
    <w:basedOn w:val="VerbatimChar"/>
    <w:qFormat/>
    <w:rPr>
      <w:color w:val="4070A0"/>
    </w:rPr>
  </w:style>
  <w:style w:type="character" w:styleId="VerbatimStringTok" w:customStyle="1">
    <w:name w:val="VerbatimStringTok"/>
    <w:basedOn w:val="VerbatimChar"/>
    <w:qFormat/>
    <w:rPr>
      <w:color w:val="4070A0"/>
    </w:rPr>
  </w:style>
  <w:style w:type="character" w:styleId="SpecialStringTok" w:customStyle="1">
    <w:name w:val="SpecialStringTok"/>
    <w:basedOn w:val="VerbatimChar"/>
    <w:qFormat/>
    <w:rPr>
      <w:color w:val="BB6688"/>
    </w:rPr>
  </w:style>
  <w:style w:type="character" w:styleId="ImportTok" w:customStyle="1">
    <w:name w:val="ImportTok"/>
    <w:basedOn w:val="VerbatimChar"/>
    <w:qFormat/>
    <w:rPr>
      <w:b/>
      <w:color w:val="008000"/>
    </w:rPr>
  </w:style>
  <w:style w:type="character" w:styleId="CommentTok" w:customStyle="1">
    <w:name w:val="CommentTok"/>
    <w:basedOn w:val="VerbatimChar"/>
    <w:qFormat/>
    <w:rPr>
      <w:i/>
      <w:color w:val="60A0B0"/>
    </w:rPr>
  </w:style>
  <w:style w:type="character" w:styleId="DocumentationTok" w:customStyle="1">
    <w:name w:val="DocumentationTok"/>
    <w:basedOn w:val="VerbatimChar"/>
    <w:qFormat/>
    <w:rPr>
      <w:i/>
      <w:color w:val="BA2121"/>
    </w:rPr>
  </w:style>
  <w:style w:type="character" w:styleId="AnnotationTok" w:customStyle="1">
    <w:name w:val="AnnotationTok"/>
    <w:basedOn w:val="VerbatimChar"/>
    <w:qFormat/>
    <w:rPr>
      <w:b/>
      <w:i/>
      <w:color w:val="60A0B0"/>
    </w:rPr>
  </w:style>
  <w:style w:type="character" w:styleId="CommentVarTok" w:customStyle="1">
    <w:name w:val="CommentVarTok"/>
    <w:basedOn w:val="VerbatimChar"/>
    <w:qFormat/>
    <w:rPr>
      <w:b/>
      <w:i/>
      <w:color w:val="60A0B0"/>
    </w:rPr>
  </w:style>
  <w:style w:type="character" w:styleId="OtherTok" w:customStyle="1">
    <w:name w:val="OtherTok"/>
    <w:basedOn w:val="VerbatimChar"/>
    <w:qFormat/>
    <w:rPr>
      <w:color w:val="007020"/>
    </w:rPr>
  </w:style>
  <w:style w:type="character" w:styleId="FunctionTok" w:customStyle="1">
    <w:name w:val="FunctionTok"/>
    <w:basedOn w:val="VerbatimChar"/>
    <w:qFormat/>
    <w:rPr>
      <w:color w:val="06287E"/>
    </w:rPr>
  </w:style>
  <w:style w:type="character" w:styleId="VariableTok" w:customStyle="1">
    <w:name w:val="VariableTok"/>
    <w:basedOn w:val="VerbatimChar"/>
    <w:qFormat/>
    <w:rPr>
      <w:color w:val="19177C"/>
    </w:rPr>
  </w:style>
  <w:style w:type="character" w:styleId="ControlFlowTok" w:customStyle="1">
    <w:name w:val="ControlFlowTok"/>
    <w:basedOn w:val="VerbatimChar"/>
    <w:qFormat/>
    <w:rPr>
      <w:b/>
      <w:color w:val="007020"/>
    </w:rPr>
  </w:style>
  <w:style w:type="character" w:styleId="OperatorTok" w:customStyle="1">
    <w:name w:val="OperatorTok"/>
    <w:basedOn w:val="VerbatimChar"/>
    <w:qFormat/>
    <w:rPr>
      <w:color w:val="666666"/>
    </w:rPr>
  </w:style>
  <w:style w:type="character" w:styleId="BuiltInTok" w:customStyle="1">
    <w:name w:val="BuiltInTok"/>
    <w:basedOn w:val="VerbatimChar"/>
    <w:qFormat/>
    <w:rPr>
      <w:color w:val="008000"/>
    </w:rPr>
  </w:style>
  <w:style w:type="character" w:styleId="ExtensionTok" w:customStyle="1">
    <w:name w:val="ExtensionTok"/>
    <w:basedOn w:val="VerbatimChar"/>
    <w:qFormat/>
    <w:rPr/>
  </w:style>
  <w:style w:type="character" w:styleId="PreprocessorTok" w:customStyle="1">
    <w:name w:val="PreprocessorTok"/>
    <w:basedOn w:val="VerbatimChar"/>
    <w:qFormat/>
    <w:rPr>
      <w:color w:val="BC7A00"/>
    </w:rPr>
  </w:style>
  <w:style w:type="character" w:styleId="AttributeTok" w:customStyle="1">
    <w:name w:val="AttributeTok"/>
    <w:basedOn w:val="VerbatimChar"/>
    <w:qFormat/>
    <w:rPr>
      <w:color w:val="7D9029"/>
    </w:rPr>
  </w:style>
  <w:style w:type="character" w:styleId="RegionMarkerTok" w:customStyle="1">
    <w:name w:val="RegionMarkerTok"/>
    <w:basedOn w:val="VerbatimChar"/>
    <w:qFormat/>
    <w:rPr/>
  </w:style>
  <w:style w:type="character" w:styleId="InformationTok" w:customStyle="1">
    <w:name w:val="InformationTok"/>
    <w:basedOn w:val="VerbatimChar"/>
    <w:qFormat/>
    <w:rPr>
      <w:b/>
      <w:i/>
      <w:color w:val="60A0B0"/>
    </w:rPr>
  </w:style>
  <w:style w:type="character" w:styleId="WarningTok" w:customStyle="1">
    <w:name w:val="WarningTok"/>
    <w:basedOn w:val="VerbatimChar"/>
    <w:qFormat/>
    <w:rPr>
      <w:b/>
      <w:i/>
      <w:color w:val="60A0B0"/>
    </w:rPr>
  </w:style>
  <w:style w:type="character" w:styleId="AlertTok" w:customStyle="1">
    <w:name w:val="AlertTok"/>
    <w:basedOn w:val="VerbatimChar"/>
    <w:qFormat/>
    <w:rPr>
      <w:b/>
      <w:color w:val="FF0000"/>
    </w:rPr>
  </w:style>
  <w:style w:type="character" w:styleId="ErrorTok" w:customStyle="1">
    <w:name w:val="ErrorTok"/>
    <w:basedOn w:val="VerbatimChar"/>
    <w:qFormat/>
    <w:rPr>
      <w:b/>
      <w:color w:val="FF0000"/>
    </w:rPr>
  </w:style>
  <w:style w:type="character" w:styleId="NormalTok" w:customStyle="1">
    <w:name w:val="NormalTok"/>
    <w:basedOn w:val="VerbatimChar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link w:val="BodyTextChar"/>
    <w:qFormat/>
    <w:pPr>
      <w:spacing w:before="180" w:after="18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link w:val="BodyTextChar"/>
    <w:qFormat/>
    <w:pPr>
      <w:spacing w:before="0" w:after="120"/>
    </w:pPr>
    <w:rPr>
      <w:i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FirstParagraph" w:customStyle="1">
    <w:name w:val="First Paragraph"/>
    <w:basedOn w:val="BodyText"/>
    <w:next w:val="BodyText"/>
    <w:qFormat/>
    <w:pPr/>
    <w:rPr/>
  </w:style>
  <w:style w:type="paragraph" w:styleId="Compact" w:customStyle="1">
    <w:name w:val="Compact"/>
    <w:basedOn w:val="BodyText"/>
    <w:qFormat/>
    <w:pPr>
      <w:spacing w:before="36" w:after="36"/>
    </w:pPr>
    <w:rPr/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lineRule="auto" w:line="240" w:before="0" w:after="80"/>
      <w:contextualSpacing/>
      <w:jc w:val="center"/>
    </w:pPr>
    <w:rPr>
      <w:rFonts w:ascii="Aptos Display" w:hAnsi="Aptos Display" w:eastAsia="" w:cs="" w:asciiTheme="majorHAnsi" w:cstheme="majorBidi" w:eastAsiaTheme="majorEastAsia" w:hAnsiTheme="majorHAnsi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/>
    <w:rPr>
      <w:rFonts w:eastAsia="" w:cs="" w:cstheme="majorBidi" w:eastAsiaTheme="majorEastAsia"/>
      <w:spacing w:val="15"/>
      <w:sz w:val="28"/>
      <w:szCs w:val="28"/>
    </w:rPr>
  </w:style>
  <w:style w:type="paragraph" w:styleId="Author" w:customStyle="1">
    <w:name w:val="Author"/>
    <w:basedOn w:val="Title"/>
    <w:next w:val="BodyText"/>
    <w:qFormat/>
    <w:pPr>
      <w:keepNext w:val="true"/>
      <w:keepLines/>
    </w:pPr>
    <w:rPr>
      <w:sz w:val="24"/>
      <w:szCs w:val="24"/>
    </w:rPr>
  </w:style>
  <w:style w:type="paragraph" w:styleId="Date">
    <w:name w:val="Date"/>
    <w:basedOn w:val="Title"/>
    <w:next w:val="BodyText"/>
    <w:qFormat/>
    <w:pPr>
      <w:keepNext w:val="true"/>
      <w:keepLines/>
    </w:pPr>
    <w:rPr>
      <w:sz w:val="24"/>
      <w:szCs w:val="24"/>
    </w:rPr>
  </w:style>
  <w:style w:type="paragraph" w:styleId="AbstractTitle" w:customStyle="1">
    <w:name w:val="Abstract Title"/>
    <w:basedOn w:val="Normal"/>
    <w:next w:val="Abstract"/>
    <w:qFormat/>
    <w:pPr>
      <w:keepNext w:val="true"/>
      <w:keepLines/>
      <w:spacing w:before="300" w:after="0"/>
      <w:jc w:val="center"/>
    </w:pPr>
    <w:rPr>
      <w:b/>
      <w:sz w:val="20"/>
      <w:szCs w:val="20"/>
    </w:rPr>
  </w:style>
  <w:style w:type="paragraph" w:styleId="Abstract" w:customStyle="1">
    <w:name w:val="Abstract"/>
    <w:basedOn w:val="Normal"/>
    <w:next w:val="BodyText"/>
    <w:qFormat/>
    <w:pPr>
      <w:keepNext w:val="true"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  <w:pPr/>
    <w:rPr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hanging="0" w:left="480" w:right="480"/>
    </w:pPr>
    <w:rPr/>
  </w:style>
  <w:style w:type="paragraph" w:styleId="FootnoteText">
    <w:name w:val="footnote text"/>
    <w:basedOn w:val="Normal"/>
    <w:uiPriority w:val="9"/>
    <w:unhideWhenUsed/>
    <w:qFormat/>
    <w:pPr/>
    <w:rPr/>
  </w:style>
  <w:style w:type="paragraph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hanging="0" w:left="480" w:right="480"/>
    </w:pPr>
    <w:rPr/>
  </w:style>
  <w:style w:type="paragraph" w:styleId="DefinitionTerm" w:customStyle="1">
    <w:name w:val="Definition Term"/>
    <w:basedOn w:val="Normal"/>
    <w:next w:val="Definition"/>
    <w:qFormat/>
    <w:pPr>
      <w:keepNext w:val="true"/>
      <w:keepLines/>
      <w:spacing w:before="0" w:after="0"/>
    </w:pPr>
    <w:rPr>
      <w:b/>
    </w:rPr>
  </w:style>
  <w:style w:type="paragraph" w:styleId="Definition" w:customStyle="1">
    <w:name w:val="Definition"/>
    <w:basedOn w:val="Normal"/>
    <w:qFormat/>
    <w:pPr/>
    <w:rPr/>
  </w:style>
  <w:style w:type="paragraph" w:styleId="TableCaption" w:customStyle="1">
    <w:name w:val="Table Caption"/>
    <w:basedOn w:val="Caption"/>
    <w:qFormat/>
    <w:pPr>
      <w:keepNext w:val="true"/>
    </w:pPr>
    <w:rPr/>
  </w:style>
  <w:style w:type="paragraph" w:styleId="ImageCaption" w:customStyle="1">
    <w:name w:val="Image Caption"/>
    <w:basedOn w:val="Caption"/>
    <w:qFormat/>
    <w:pPr/>
    <w:rPr/>
  </w:style>
  <w:style w:type="paragraph" w:styleId="Figure" w:customStyle="1">
    <w:name w:val="Figure"/>
    <w:basedOn w:val="Normal"/>
    <w:qFormat/>
    <w:pPr/>
    <w:rPr/>
  </w:style>
  <w:style w:type="paragraph" w:styleId="CaptionedFigure" w:customStyle="1">
    <w:name w:val="Captioned Figure"/>
    <w:basedOn w:val="Figure"/>
    <w:qFormat/>
    <w:pPr>
      <w:keepNext w:val="true"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BodyText"/>
    <w:uiPriority w:val="39"/>
    <w:unhideWhenUsed/>
    <w:qFormat/>
    <w:pPr>
      <w:spacing w:lineRule="auto" w:line="259" w:before="240" w:after="80"/>
      <w:outlineLvl w:val="9"/>
    </w:pPr>
    <w:rPr>
      <w:rFonts w:ascii="Aptos Display" w:hAnsi="Aptos Display" w:eastAsia="" w:cs="" w:asciiTheme="majorHAnsi" w:cstheme="majorBidi" w:eastAsiaTheme="majorEastAsia" w:hAnsiTheme="majorHAnsi"/>
      <w:b w:val="false"/>
      <w:bCs w:val="false"/>
      <w:color w:themeColor="accent1" w:themeShade="bf" w:val="365F91"/>
    </w:rPr>
  </w:style>
  <w:style w:type="paragraph" w:styleId="SourceCode" w:customStyle="1">
    <w:name w:val="Source Code"/>
    <w:basedOn w:val="Normal"/>
    <w:link w:val="VerbatimChar"/>
    <w:qFormat/>
    <w:pPr/>
    <w:rPr/>
  </w:style>
  <w:style w:type="table" w:default="1" w:styleId="Table">
    <w:name w:val="Table"/>
    <w:basedOn w:val="TableNormal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Application>LibreOffice/26.2.0.3$Linux_X86_64 LibreOffice_project/620$Build-3</Application>
  <AppVersion>15.0000</AppVersion>
  <Pages>4</Pages>
  <Words>462</Words>
  <Characters>3450</Characters>
  <CharactersWithSpaces>3620</CharactersWithSpaces>
  <Paragraphs>285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2026-02-21T17:07:42Z</dcterms:created>
  <dc:creator/>
  <dc:description/>
  <dc:language>en-US</dc:language>
  <cp:lastModifiedBy>David Adams</cp:lastModifiedBy>
  <dcterms:modified xsi:type="dcterms:W3CDTF">2026-02-21T09:08:01Z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